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3E0E" w14:textId="77777777" w:rsidR="002A5ADE" w:rsidRDefault="002A5ADE" w:rsidP="002A5ADE">
      <w:pPr>
        <w:pStyle w:val="Heading1"/>
        <w:numPr>
          <w:ilvl w:val="6"/>
          <w:numId w:val="1"/>
        </w:numPr>
        <w:spacing w:after="120" w:line="256" w:lineRule="auto"/>
        <w:rPr>
          <w:rFonts w:ascii="Verdana" w:eastAsia="Verdana" w:hAnsi="Verdana" w:cs="Verdana"/>
          <w:color w:val="01426A"/>
          <w:sz w:val="28"/>
          <w:szCs w:val="28"/>
        </w:rPr>
      </w:pPr>
      <w:bookmarkStart w:id="0" w:name="_Toc53671183"/>
      <w:bookmarkStart w:id="1" w:name="_Ref50228137"/>
      <w:r w:rsidRPr="04650386">
        <w:rPr>
          <w:rFonts w:ascii="Verdana" w:eastAsia="Verdana" w:hAnsi="Verdana" w:cs="Verdana"/>
          <w:color w:val="01426A"/>
          <w:sz w:val="28"/>
          <w:szCs w:val="28"/>
        </w:rPr>
        <w:t>Proforma Term Sheet</w:t>
      </w:r>
      <w:bookmarkEnd w:id="0"/>
      <w:r w:rsidRPr="04650386">
        <w:rPr>
          <w:rFonts w:ascii="Verdana" w:eastAsia="Verdana" w:hAnsi="Verdana" w:cs="Verdana"/>
          <w:color w:val="01426A"/>
          <w:sz w:val="28"/>
          <w:szCs w:val="28"/>
        </w:rPr>
        <w:t xml:space="preserve"> </w:t>
      </w:r>
      <w:bookmarkEnd w:id="1"/>
    </w:p>
    <w:p w14:paraId="44C67328" w14:textId="77777777" w:rsidR="002A5ADE" w:rsidRPr="00883F82" w:rsidRDefault="002A5ADE" w:rsidP="002A5ADE">
      <w:pPr>
        <w:pStyle w:val="BodyText"/>
        <w:spacing w:before="5"/>
        <w:rPr>
          <w:rFonts w:ascii="Times New Roman" w:hAnsi="Times New Roman"/>
          <w:b/>
        </w:rPr>
      </w:pPr>
    </w:p>
    <w:p w14:paraId="0C3C97BB" w14:textId="77777777" w:rsidR="002A5ADE" w:rsidRDefault="002A5ADE" w:rsidP="002A5A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TERM SHEET FOR ENERGY STORAGE SERVICES AGREEMENT (“</w:t>
      </w:r>
      <w:r>
        <w:rPr>
          <w:rFonts w:ascii="Times New Roman" w:eastAsia="Times New Roman" w:hAnsi="Times New Roman" w:cs="Times New Roman"/>
          <w:b/>
          <w:sz w:val="24"/>
          <w:szCs w:val="24"/>
          <w:u w:val="single"/>
        </w:rPr>
        <w:t>Term Sheet</w:t>
      </w:r>
      <w:r>
        <w:rPr>
          <w:rFonts w:ascii="Times New Roman" w:eastAsia="Times New Roman" w:hAnsi="Times New Roman" w:cs="Times New Roman"/>
          <w:sz w:val="24"/>
          <w:szCs w:val="24"/>
        </w:rPr>
        <w:t>”) is entered into as of [</w:t>
      </w:r>
      <w:r>
        <w:rPr>
          <w:rFonts w:ascii="Times New Roman" w:eastAsia="Times New Roman" w:hAnsi="Times New Roman" w:cs="Times New Roman"/>
          <w:sz w:val="24"/>
          <w:szCs w:val="24"/>
          <w:highlight w:val="lightGray"/>
        </w:rPr>
        <w:t>_____</w:t>
      </w:r>
      <w:r>
        <w:rPr>
          <w:rFonts w:ascii="Times New Roman" w:eastAsia="Times New Roman" w:hAnsi="Times New Roman" w:cs="Times New Roman"/>
          <w:sz w:val="24"/>
          <w:szCs w:val="24"/>
        </w:rPr>
        <w:t>], 2020 (the “</w:t>
      </w:r>
      <w:r>
        <w:rPr>
          <w:rFonts w:ascii="Times New Roman" w:eastAsia="Times New Roman" w:hAnsi="Times New Roman" w:cs="Times New Roman"/>
          <w:b/>
          <w:sz w:val="24"/>
          <w:szCs w:val="24"/>
          <w:u w:val="single"/>
        </w:rPr>
        <w:t>Effective Date</w:t>
      </w:r>
      <w:r>
        <w:rPr>
          <w:rFonts w:ascii="Times New Roman" w:eastAsia="Times New Roman" w:hAnsi="Times New Roman" w:cs="Times New Roman"/>
          <w:sz w:val="24"/>
          <w:szCs w:val="24"/>
        </w:rPr>
        <w:t xml:space="preserve">”), between Central Coast Community Energy, </w:t>
      </w:r>
      <w:proofErr w:type="spellStart"/>
      <w:r>
        <w:rPr>
          <w:rFonts w:ascii="Times New Roman" w:eastAsia="Times New Roman" w:hAnsi="Times New Roman" w:cs="Times New Roman"/>
          <w:sz w:val="24"/>
          <w:szCs w:val="24"/>
        </w:rPr>
        <w:t>CleanPowerSF</w:t>
      </w:r>
      <w:proofErr w:type="spellEnd"/>
      <w:r>
        <w:rPr>
          <w:rFonts w:ascii="Times New Roman" w:eastAsia="Times New Roman" w:hAnsi="Times New Roman" w:cs="Times New Roman"/>
          <w:sz w:val="24"/>
          <w:szCs w:val="24"/>
        </w:rPr>
        <w:t>, Marin Clean Energy, Peninsula Clean Energy, Redwood Coast Energy Authority, San Jose Clean Energy, Silicon Valley Clean Energy and Sonoma Clean Power, (</w:t>
      </w:r>
      <w:r w:rsidRPr="00F75C35">
        <w:rPr>
          <w:rFonts w:ascii="Times New Roman" w:hAnsi="Times New Roman" w:cs="Times New Roman"/>
          <w:sz w:val="24"/>
          <w:szCs w:val="24"/>
        </w:rPr>
        <w:t xml:space="preserve">collectively, </w:t>
      </w:r>
      <w:r>
        <w:rPr>
          <w:rFonts w:ascii="Times New Roman" w:eastAsia="Times New Roman" w:hAnsi="Times New Roman" w:cs="Times New Roman"/>
          <w:sz w:val="24"/>
          <w:szCs w:val="24"/>
        </w:rPr>
        <w:t>the “</w:t>
      </w:r>
      <w:r w:rsidRPr="00883F82">
        <w:rPr>
          <w:rFonts w:ascii="Times New Roman" w:hAnsi="Times New Roman"/>
          <w:b/>
          <w:sz w:val="24"/>
          <w:u w:val="single"/>
        </w:rPr>
        <w:t>Joint CCAs</w:t>
      </w:r>
      <w:r w:rsidRPr="00F75C35">
        <w:rPr>
          <w:rFonts w:ascii="Times New Roman" w:hAnsi="Times New Roman" w:cs="Times New Roman"/>
          <w:sz w:val="24"/>
          <w:szCs w:val="24"/>
        </w:rPr>
        <w:t>”)</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highlight w:val="lightGray"/>
        </w:rPr>
        <w:t>Respondent</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Respondent</w:t>
      </w:r>
      <w:r>
        <w:rPr>
          <w:rFonts w:ascii="Times New Roman" w:eastAsia="Times New Roman" w:hAnsi="Times New Roman" w:cs="Times New Roman"/>
          <w:sz w:val="24"/>
          <w:szCs w:val="24"/>
        </w:rPr>
        <w:t>”). This Term Sheet includes the key commercial terms and conditions to be included in a proposed energy storage service agreement (“</w:t>
      </w:r>
      <w:r>
        <w:rPr>
          <w:rFonts w:ascii="Times New Roman" w:eastAsia="Times New Roman" w:hAnsi="Times New Roman" w:cs="Times New Roman"/>
          <w:b/>
          <w:sz w:val="24"/>
          <w:szCs w:val="24"/>
          <w:u w:val="single"/>
        </w:rPr>
        <w:t>ESSA</w:t>
      </w:r>
      <w:r>
        <w:rPr>
          <w:rFonts w:ascii="Times New Roman" w:eastAsia="Times New Roman" w:hAnsi="Times New Roman" w:cs="Times New Roman"/>
          <w:sz w:val="24"/>
          <w:szCs w:val="24"/>
        </w:rPr>
        <w:t>”) to be negotiated between the Joint CCAs (“</w:t>
      </w:r>
      <w:r>
        <w:rPr>
          <w:rFonts w:ascii="Times New Roman" w:eastAsia="Times New Roman" w:hAnsi="Times New Roman" w:cs="Times New Roman"/>
          <w:b/>
          <w:sz w:val="24"/>
          <w:szCs w:val="24"/>
          <w:u w:val="single"/>
        </w:rPr>
        <w:t>Buyer</w:t>
      </w:r>
      <w:r>
        <w:rPr>
          <w:rFonts w:ascii="Times New Roman" w:eastAsia="Times New Roman" w:hAnsi="Times New Roman" w:cs="Times New Roman"/>
          <w:sz w:val="24"/>
          <w:szCs w:val="24"/>
        </w:rPr>
        <w:t>”) and [</w:t>
      </w:r>
      <w:r>
        <w:rPr>
          <w:rFonts w:ascii="Times New Roman" w:eastAsia="Times New Roman" w:hAnsi="Times New Roman" w:cs="Times New Roman"/>
          <w:i/>
          <w:sz w:val="24"/>
          <w:szCs w:val="24"/>
          <w:highlight w:val="lightGray"/>
        </w:rPr>
        <w:t>e.g., Project Company LLC</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Seller</w:t>
      </w:r>
      <w:r>
        <w:rPr>
          <w:rFonts w:ascii="Times New Roman" w:eastAsia="Times New Roman" w:hAnsi="Times New Roman" w:cs="Times New Roman"/>
          <w:sz w:val="24"/>
          <w:szCs w:val="24"/>
        </w:rPr>
        <w:t>”) (the “</w:t>
      </w:r>
      <w:r>
        <w:rPr>
          <w:rFonts w:ascii="Times New Roman" w:eastAsia="Times New Roman" w:hAnsi="Times New Roman" w:cs="Times New Roman"/>
          <w:b/>
          <w:sz w:val="24"/>
          <w:szCs w:val="24"/>
          <w:u w:val="single"/>
        </w:rPr>
        <w:t>Proposed Transaction</w:t>
      </w:r>
      <w:r>
        <w:rPr>
          <w:rFonts w:ascii="Times New Roman" w:eastAsia="Times New Roman" w:hAnsi="Times New Roman" w:cs="Times New Roman"/>
          <w:sz w:val="24"/>
          <w:szCs w:val="24"/>
        </w:rPr>
        <w:t>”). As used herein, Buyer and Seller are each a “</w:t>
      </w:r>
      <w:r>
        <w:rPr>
          <w:rFonts w:ascii="Times New Roman" w:eastAsia="Times New Roman" w:hAnsi="Times New Roman" w:cs="Times New Roman"/>
          <w:b/>
          <w:sz w:val="24"/>
          <w:szCs w:val="24"/>
          <w:u w:val="single"/>
        </w:rPr>
        <w:t>Party</w:t>
      </w:r>
      <w:r>
        <w:rPr>
          <w:rFonts w:ascii="Times New Roman" w:eastAsia="Times New Roman" w:hAnsi="Times New Roman" w:cs="Times New Roman"/>
          <w:sz w:val="24"/>
          <w:szCs w:val="24"/>
        </w:rPr>
        <w:t>” and collectively the “</w:t>
      </w:r>
      <w:r>
        <w:rPr>
          <w:rFonts w:ascii="Times New Roman" w:eastAsia="Times New Roman" w:hAnsi="Times New Roman" w:cs="Times New Roman"/>
          <w:b/>
          <w:sz w:val="24"/>
          <w:szCs w:val="24"/>
          <w:u w:val="single"/>
        </w:rPr>
        <w:t>Parties</w:t>
      </w:r>
      <w:r>
        <w:rPr>
          <w:rFonts w:ascii="Times New Roman" w:eastAsia="Times New Roman" w:hAnsi="Times New Roman" w:cs="Times New Roman"/>
          <w:sz w:val="24"/>
          <w:szCs w:val="24"/>
        </w:rPr>
        <w:t>.” Notwithstanding anything herein to the contrary, that until a definitive agreement is approved by Buyer’s Joint Procurement Authority and signed and delivered by each Buyer and Seller, no Party shall have any legal obligations, expressed or implied, or arising in any other manner under this Term Sheet to continue negotiations or enter into the Proposed Transaction or the ESSA.</w:t>
      </w:r>
    </w:p>
    <w:p w14:paraId="0B959E61" w14:textId="77777777" w:rsidR="002A5ADE" w:rsidRPr="00883F82" w:rsidRDefault="002A5ADE" w:rsidP="002A5ADE">
      <w:pPr>
        <w:pStyle w:val="BodyText"/>
        <w:spacing w:after="0" w:line="240" w:lineRule="auto"/>
        <w:jc w:val="both"/>
        <w:rPr>
          <w:rFonts w:ascii="Times New Roman" w:hAnsi="Times New Roman"/>
          <w:sz w:val="24"/>
        </w:rPr>
      </w:pPr>
    </w:p>
    <w:p w14:paraId="05E9A09F" w14:textId="77777777" w:rsidR="002A5ADE" w:rsidRPr="00883F82" w:rsidRDefault="002A5ADE" w:rsidP="002A5ADE">
      <w:pPr>
        <w:pStyle w:val="ListParagraph"/>
        <w:numPr>
          <w:ilvl w:val="0"/>
          <w:numId w:val="7"/>
        </w:numPr>
        <w:spacing w:after="240" w:line="240" w:lineRule="auto"/>
        <w:ind w:hanging="720"/>
        <w:rPr>
          <w:rFonts w:ascii="Times New Roman" w:hAnsi="Times New Roman"/>
          <w:b/>
          <w:sz w:val="24"/>
        </w:rPr>
      </w:pPr>
      <w:r w:rsidRPr="00883F82">
        <w:rPr>
          <w:rFonts w:ascii="Times New Roman" w:hAnsi="Times New Roman"/>
          <w:b/>
          <w:sz w:val="24"/>
        </w:rPr>
        <w:t>ESSA Terms</w:t>
      </w:r>
      <w:r w:rsidRPr="00F75C35">
        <w:rPr>
          <w:rFonts w:ascii="Times New Roman" w:hAnsi="Times New Roman" w:cs="Times New Roman"/>
          <w:b/>
          <w:sz w:val="24"/>
          <w:szCs w:val="24"/>
        </w:rPr>
        <w:t xml:space="preserve"> and Conditions</w:t>
      </w:r>
      <w:r w:rsidRPr="00883F82">
        <w:rPr>
          <w:rFonts w:ascii="Times New Roman" w:hAnsi="Times New Roman"/>
          <w:sz w:val="24"/>
        </w:rPr>
        <w:t>.</w:t>
      </w:r>
    </w:p>
    <w:tbl>
      <w:tblPr>
        <w:tblW w:w="924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4"/>
        <w:gridCol w:w="7018"/>
        <w:gridCol w:w="180"/>
      </w:tblGrid>
      <w:tr w:rsidR="002A5ADE" w14:paraId="6ABAED16" w14:textId="77777777" w:rsidTr="009B681F">
        <w:trPr>
          <w:gridAfter w:val="1"/>
          <w:wAfter w:w="180" w:type="dxa"/>
          <w:trHeight w:val="1758"/>
        </w:trPr>
        <w:tc>
          <w:tcPr>
            <w:tcW w:w="2044" w:type="dxa"/>
          </w:tcPr>
          <w:p w14:paraId="6EC39BC5" w14:textId="77777777" w:rsidR="002A5ADE" w:rsidRPr="00883F82" w:rsidRDefault="002A5ADE" w:rsidP="009B681F">
            <w:pPr>
              <w:pStyle w:val="TableParagraph"/>
              <w:spacing w:before="120" w:after="120"/>
              <w:ind w:left="144"/>
              <w:rPr>
                <w:b/>
                <w:sz w:val="24"/>
              </w:rPr>
            </w:pPr>
            <w:r w:rsidRPr="00883F82">
              <w:rPr>
                <w:b/>
                <w:sz w:val="24"/>
              </w:rPr>
              <w:t>Storage Product:</w:t>
            </w:r>
          </w:p>
        </w:tc>
        <w:tc>
          <w:tcPr>
            <w:tcW w:w="7018" w:type="dxa"/>
          </w:tcPr>
          <w:p w14:paraId="613BD49E" w14:textId="77777777" w:rsidR="002A5ADE" w:rsidRPr="00883F82" w:rsidRDefault="002A5ADE" w:rsidP="009B681F">
            <w:pPr>
              <w:pStyle w:val="TableParagraph"/>
              <w:spacing w:before="120" w:after="120"/>
              <w:ind w:left="157" w:right="180"/>
              <w:jc w:val="both"/>
              <w:rPr>
                <w:sz w:val="24"/>
              </w:rPr>
            </w:pPr>
            <w:r w:rsidRPr="00883F82">
              <w:rPr>
                <w:b/>
                <w:sz w:val="24"/>
              </w:rPr>
              <w:t>Option 1:</w:t>
            </w:r>
            <w:r w:rsidRPr="00883F82">
              <w:rPr>
                <w:sz w:val="24"/>
              </w:rPr>
              <w:t xml:space="preserve"> </w:t>
            </w:r>
            <w:r w:rsidRPr="00883F82">
              <w:rPr>
                <w:sz w:val="24"/>
                <w:u w:val="single"/>
              </w:rPr>
              <w:t>RA Product</w:t>
            </w:r>
            <w:r w:rsidRPr="00883F82">
              <w:rPr>
                <w:sz w:val="24"/>
              </w:rPr>
              <w:t xml:space="preserve"> – includes Resource Adequacy Benefits only. “</w:t>
            </w:r>
            <w:r w:rsidRPr="00883F82">
              <w:rPr>
                <w:b/>
                <w:sz w:val="24"/>
                <w:u w:val="single"/>
              </w:rPr>
              <w:t>Resource Adequacy Benefits</w:t>
            </w:r>
            <w:r w:rsidRPr="00883F82">
              <w:rPr>
                <w:sz w:val="24"/>
              </w:rPr>
              <w:t xml:space="preserve">” means the rights and privileges attached to the Storage Facility that satisfy any entity’s resource adequacy obligations, and includes any local, zonal or otherwise locational attributes associated with the Storage Facility, in addition to flex attributes.  </w:t>
            </w:r>
            <w:r w:rsidRPr="00F75C35">
              <w:rPr>
                <w:sz w:val="24"/>
                <w:szCs w:val="24"/>
              </w:rPr>
              <w:t>[</w:t>
            </w:r>
            <w:r w:rsidRPr="00F75C35">
              <w:rPr>
                <w:b/>
                <w:bCs/>
                <w:i/>
                <w:iCs/>
                <w:sz w:val="24"/>
                <w:szCs w:val="24"/>
              </w:rPr>
              <w:t xml:space="preserve">Please note that, subject to the agreement of Buyer and Seller, the </w:t>
            </w:r>
            <w:r>
              <w:rPr>
                <w:b/>
                <w:bCs/>
                <w:i/>
                <w:iCs/>
                <w:sz w:val="24"/>
                <w:szCs w:val="24"/>
              </w:rPr>
              <w:t>ESSA</w:t>
            </w:r>
            <w:r w:rsidRPr="00F75C35">
              <w:rPr>
                <w:b/>
                <w:bCs/>
                <w:i/>
                <w:iCs/>
                <w:sz w:val="24"/>
                <w:szCs w:val="24"/>
              </w:rPr>
              <w:t xml:space="preserve"> for an RA Only product may take the form of an EEI confirmation between Buyer and Seller.</w:t>
            </w:r>
            <w:r w:rsidRPr="00F75C35">
              <w:rPr>
                <w:b/>
                <w:bCs/>
                <w:sz w:val="24"/>
                <w:szCs w:val="24"/>
              </w:rPr>
              <w:t xml:space="preserve">] </w:t>
            </w:r>
          </w:p>
          <w:p w14:paraId="4F589B92" w14:textId="77777777" w:rsidR="002A5ADE" w:rsidRPr="00883F82" w:rsidRDefault="002A5ADE" w:rsidP="009B681F">
            <w:pPr>
              <w:pStyle w:val="TableParagraph"/>
              <w:spacing w:before="120" w:after="120"/>
              <w:ind w:left="157" w:right="180"/>
              <w:jc w:val="both"/>
              <w:rPr>
                <w:sz w:val="24"/>
              </w:rPr>
            </w:pPr>
            <w:r w:rsidRPr="00883F82">
              <w:rPr>
                <w:b/>
                <w:sz w:val="24"/>
              </w:rPr>
              <w:t>Option 2:</w:t>
            </w:r>
            <w:r w:rsidRPr="00883F82">
              <w:rPr>
                <w:sz w:val="24"/>
              </w:rPr>
              <w:t xml:space="preserve"> </w:t>
            </w:r>
            <w:r w:rsidRPr="00883F82">
              <w:rPr>
                <w:sz w:val="24"/>
                <w:u w:val="single"/>
              </w:rPr>
              <w:t>Storage Product</w:t>
            </w:r>
            <w:r w:rsidRPr="00883F82">
              <w:rPr>
                <w:sz w:val="24"/>
              </w:rPr>
              <w:t xml:space="preserve"> – includes all energy, capacity, Resource Adequacy Benefits, and ancillary services produced by or associated with the Storage Facility.</w:t>
            </w:r>
            <w:r w:rsidRPr="00883F82">
              <w:rPr>
                <w:i/>
                <w:sz w:val="24"/>
              </w:rPr>
              <w:t xml:space="preserve"> </w:t>
            </w:r>
            <w:r w:rsidRPr="00F75C35">
              <w:rPr>
                <w:sz w:val="24"/>
                <w:szCs w:val="24"/>
              </w:rPr>
              <w:t>Buyer</w:t>
            </w:r>
            <w:r w:rsidRPr="00883F82">
              <w:rPr>
                <w:sz w:val="24"/>
              </w:rPr>
              <w:t xml:space="preserve"> receives full dispatchable rights</w:t>
            </w:r>
            <w:r w:rsidRPr="00883F82">
              <w:rPr>
                <w:spacing w:val="-24"/>
                <w:sz w:val="24"/>
              </w:rPr>
              <w:t xml:space="preserve"> </w:t>
            </w:r>
            <w:r w:rsidRPr="00883F82">
              <w:rPr>
                <w:sz w:val="24"/>
              </w:rPr>
              <w:t>and energy revenues</w:t>
            </w:r>
            <w:r w:rsidRPr="00883F82">
              <w:rPr>
                <w:spacing w:val="-1"/>
                <w:sz w:val="24"/>
              </w:rPr>
              <w:t xml:space="preserve"> </w:t>
            </w:r>
            <w:r w:rsidRPr="00883F82">
              <w:rPr>
                <w:sz w:val="24"/>
              </w:rPr>
              <w:t>earned.</w:t>
            </w:r>
          </w:p>
          <w:p w14:paraId="155518A4" w14:textId="77777777" w:rsidR="002A5ADE" w:rsidRPr="00883F82" w:rsidRDefault="002A5ADE" w:rsidP="009B681F">
            <w:pPr>
              <w:pStyle w:val="TableParagraph"/>
              <w:spacing w:before="120" w:after="120"/>
              <w:ind w:left="157" w:right="180"/>
              <w:jc w:val="both"/>
              <w:rPr>
                <w:sz w:val="24"/>
              </w:rPr>
            </w:pPr>
            <w:r w:rsidRPr="00883F82">
              <w:rPr>
                <w:b/>
                <w:sz w:val="24"/>
              </w:rPr>
              <w:t>Option</w:t>
            </w:r>
            <w:r w:rsidRPr="00883F82">
              <w:rPr>
                <w:b/>
                <w:spacing w:val="-13"/>
                <w:sz w:val="24"/>
              </w:rPr>
              <w:t xml:space="preserve"> </w:t>
            </w:r>
            <w:r w:rsidRPr="00883F82">
              <w:rPr>
                <w:b/>
                <w:sz w:val="24"/>
              </w:rPr>
              <w:t>3:</w:t>
            </w:r>
            <w:r w:rsidRPr="00883F82">
              <w:rPr>
                <w:spacing w:val="-10"/>
                <w:sz w:val="24"/>
              </w:rPr>
              <w:t xml:space="preserve"> </w:t>
            </w:r>
            <w:r w:rsidRPr="00883F82">
              <w:rPr>
                <w:sz w:val="24"/>
                <w:u w:val="single"/>
              </w:rPr>
              <w:t>RA Product with Revenue Sharing</w:t>
            </w:r>
            <w:r w:rsidRPr="00883F82">
              <w:rPr>
                <w:sz w:val="24"/>
              </w:rPr>
              <w:t xml:space="preserve"> – includes Resource Adequacy Benefits, and percent </w:t>
            </w:r>
            <w:r>
              <w:rPr>
                <w:sz w:val="24"/>
              </w:rPr>
              <w:t xml:space="preserve">sharing of benefits </w:t>
            </w:r>
            <w:r w:rsidRPr="00883F82">
              <w:rPr>
                <w:sz w:val="24"/>
              </w:rPr>
              <w:t>(</w:t>
            </w:r>
            <w:r>
              <w:rPr>
                <w:sz w:val="24"/>
              </w:rPr>
              <w:t>TBD</w:t>
            </w:r>
            <w:r w:rsidRPr="00883F82">
              <w:rPr>
                <w:sz w:val="24"/>
              </w:rPr>
              <w:t>) of revenues from energy and ancillary services produced by or associated with the Storage Facility.</w:t>
            </w:r>
            <w:r w:rsidRPr="00883F82">
              <w:rPr>
                <w:i/>
                <w:sz w:val="24"/>
              </w:rPr>
              <w:t xml:space="preserve">  </w:t>
            </w:r>
            <w:r w:rsidRPr="00883F82">
              <w:rPr>
                <w:sz w:val="24"/>
              </w:rPr>
              <w:t>Seller will</w:t>
            </w:r>
            <w:r w:rsidRPr="00883F82">
              <w:rPr>
                <w:spacing w:val="-12"/>
                <w:sz w:val="24"/>
              </w:rPr>
              <w:t xml:space="preserve"> </w:t>
            </w:r>
            <w:r w:rsidRPr="00883F82">
              <w:rPr>
                <w:sz w:val="24"/>
              </w:rPr>
              <w:t>schedule</w:t>
            </w:r>
            <w:r w:rsidRPr="00883F82">
              <w:rPr>
                <w:spacing w:val="-9"/>
                <w:sz w:val="24"/>
              </w:rPr>
              <w:t xml:space="preserve"> </w:t>
            </w:r>
            <w:r w:rsidRPr="00883F82">
              <w:rPr>
                <w:sz w:val="24"/>
              </w:rPr>
              <w:t>and</w:t>
            </w:r>
            <w:r w:rsidRPr="00883F82">
              <w:rPr>
                <w:spacing w:val="-13"/>
                <w:sz w:val="24"/>
              </w:rPr>
              <w:t xml:space="preserve"> </w:t>
            </w:r>
            <w:r w:rsidRPr="00883F82">
              <w:rPr>
                <w:sz w:val="24"/>
              </w:rPr>
              <w:t>dispatch</w:t>
            </w:r>
            <w:r w:rsidRPr="00883F82">
              <w:rPr>
                <w:spacing w:val="-11"/>
                <w:sz w:val="24"/>
              </w:rPr>
              <w:t xml:space="preserve"> </w:t>
            </w:r>
            <w:r w:rsidRPr="00883F82">
              <w:rPr>
                <w:sz w:val="24"/>
              </w:rPr>
              <w:t>the</w:t>
            </w:r>
            <w:r w:rsidRPr="00883F82">
              <w:rPr>
                <w:spacing w:val="-12"/>
                <w:sz w:val="24"/>
              </w:rPr>
              <w:t xml:space="preserve"> </w:t>
            </w:r>
            <w:r w:rsidRPr="00883F82">
              <w:rPr>
                <w:sz w:val="24"/>
              </w:rPr>
              <w:t xml:space="preserve">energy. </w:t>
            </w:r>
          </w:p>
          <w:p w14:paraId="7C9F14EE" w14:textId="77777777" w:rsidR="002A5ADE" w:rsidRPr="00883F82" w:rsidRDefault="002A5ADE" w:rsidP="009B681F">
            <w:pPr>
              <w:pStyle w:val="TableParagraph"/>
              <w:spacing w:before="120" w:after="120"/>
              <w:ind w:left="157" w:right="180"/>
              <w:jc w:val="both"/>
              <w:rPr>
                <w:sz w:val="24"/>
              </w:rPr>
            </w:pPr>
            <w:r w:rsidRPr="00883F82">
              <w:rPr>
                <w:b/>
                <w:sz w:val="24"/>
              </w:rPr>
              <w:t>Option 4:</w:t>
            </w:r>
            <w:r w:rsidRPr="00883F82">
              <w:rPr>
                <w:sz w:val="24"/>
              </w:rPr>
              <w:t xml:space="preserve"> </w:t>
            </w:r>
            <w:r w:rsidRPr="00883F82">
              <w:rPr>
                <w:sz w:val="24"/>
                <w:u w:val="single"/>
              </w:rPr>
              <w:t>RA Product + Energy Discharge</w:t>
            </w:r>
            <w:r w:rsidRPr="00883F82">
              <w:rPr>
                <w:sz w:val="24"/>
              </w:rPr>
              <w:t xml:space="preserve"> – includes Resource Adequacy Benefits and blocks of </w:t>
            </w:r>
            <w:r>
              <w:rPr>
                <w:sz w:val="24"/>
              </w:rPr>
              <w:t>8</w:t>
            </w:r>
            <w:r w:rsidRPr="00883F82">
              <w:rPr>
                <w:sz w:val="24"/>
              </w:rPr>
              <w:t xml:space="preserve"> hours of discharge at the hours of Buyer’s choosing.</w:t>
            </w:r>
          </w:p>
          <w:p w14:paraId="7DF2E7FE" w14:textId="77777777" w:rsidR="002A5ADE" w:rsidRPr="00883F82" w:rsidRDefault="002A5ADE" w:rsidP="009B681F">
            <w:pPr>
              <w:pStyle w:val="TableParagraph"/>
              <w:spacing w:before="120" w:after="120"/>
              <w:ind w:left="157" w:right="180"/>
              <w:jc w:val="both"/>
              <w:rPr>
                <w:sz w:val="24"/>
              </w:rPr>
            </w:pPr>
            <w:r w:rsidRPr="00883F82">
              <w:rPr>
                <w:b/>
                <w:sz w:val="24"/>
              </w:rPr>
              <w:t>Option 5:</w:t>
            </w:r>
            <w:r w:rsidRPr="00883F82">
              <w:rPr>
                <w:sz w:val="24"/>
              </w:rPr>
              <w:t xml:space="preserve"> </w:t>
            </w:r>
            <w:r w:rsidRPr="00883F82">
              <w:rPr>
                <w:sz w:val="24"/>
                <w:u w:val="single"/>
              </w:rPr>
              <w:t>Unique Offer [</w:t>
            </w:r>
            <w:r w:rsidRPr="00883F82">
              <w:rPr>
                <w:i/>
                <w:sz w:val="24"/>
                <w:highlight w:val="lightGray"/>
                <w:u w:val="single"/>
              </w:rPr>
              <w:t>Include detail.</w:t>
            </w:r>
            <w:r w:rsidRPr="00883F82">
              <w:rPr>
                <w:sz w:val="24"/>
                <w:u w:val="single"/>
              </w:rPr>
              <w:t>]</w:t>
            </w:r>
          </w:p>
        </w:tc>
      </w:tr>
      <w:tr w:rsidR="002A5ADE" w14:paraId="72E3B7F1" w14:textId="77777777" w:rsidTr="009B681F">
        <w:trPr>
          <w:gridAfter w:val="1"/>
          <w:wAfter w:w="180" w:type="dxa"/>
          <w:trHeight w:val="80"/>
        </w:trPr>
        <w:tc>
          <w:tcPr>
            <w:tcW w:w="2044" w:type="dxa"/>
          </w:tcPr>
          <w:p w14:paraId="202661E6" w14:textId="77777777" w:rsidR="002A5ADE" w:rsidRPr="00883F82" w:rsidRDefault="002A5ADE" w:rsidP="009B681F">
            <w:pPr>
              <w:pStyle w:val="TableParagraph"/>
              <w:spacing w:before="120" w:after="120"/>
              <w:ind w:left="144"/>
              <w:rPr>
                <w:sz w:val="24"/>
              </w:rPr>
            </w:pPr>
            <w:r w:rsidRPr="00883F82">
              <w:rPr>
                <w:b/>
                <w:sz w:val="24"/>
              </w:rPr>
              <w:t>Storage Facility:</w:t>
            </w:r>
          </w:p>
        </w:tc>
        <w:tc>
          <w:tcPr>
            <w:tcW w:w="7018" w:type="dxa"/>
          </w:tcPr>
          <w:p w14:paraId="7B868686" w14:textId="77777777" w:rsidR="002A5ADE" w:rsidRPr="00883F82" w:rsidRDefault="002A5ADE" w:rsidP="009B681F">
            <w:pPr>
              <w:pStyle w:val="TableParagraph"/>
              <w:spacing w:before="120" w:after="120"/>
              <w:ind w:left="157" w:right="180"/>
              <w:jc w:val="both"/>
              <w:rPr>
                <w:b/>
                <w:sz w:val="24"/>
              </w:rPr>
            </w:pPr>
            <w:r w:rsidRPr="00883F82">
              <w:rPr>
                <w:sz w:val="24"/>
              </w:rPr>
              <w:t>“</w:t>
            </w:r>
            <w:r w:rsidRPr="00883F82">
              <w:rPr>
                <w:b/>
                <w:sz w:val="24"/>
                <w:u w:val="single"/>
              </w:rPr>
              <w:t>Storage Facility</w:t>
            </w:r>
            <w:r w:rsidRPr="00883F82">
              <w:rPr>
                <w:sz w:val="24"/>
              </w:rPr>
              <w:t>” or “</w:t>
            </w:r>
            <w:r w:rsidRPr="00883F82">
              <w:rPr>
                <w:b/>
                <w:sz w:val="24"/>
                <w:u w:val="single"/>
              </w:rPr>
              <w:t>Project</w:t>
            </w:r>
            <w:r w:rsidRPr="00883F82">
              <w:rPr>
                <w:sz w:val="24"/>
              </w:rPr>
              <w:t>” means the [</w:t>
            </w:r>
            <w:r w:rsidRPr="00883F82">
              <w:rPr>
                <w:sz w:val="24"/>
                <w:highlight w:val="lightGray"/>
              </w:rPr>
              <w:t>___</w:t>
            </w:r>
            <w:r w:rsidRPr="00883F82">
              <w:rPr>
                <w:sz w:val="24"/>
              </w:rPr>
              <w:t>] project, located in [</w:t>
            </w:r>
            <w:r w:rsidRPr="00883F82">
              <w:rPr>
                <w:sz w:val="24"/>
                <w:highlight w:val="lightGray"/>
              </w:rPr>
              <w:t>County</w:t>
            </w:r>
            <w:r w:rsidRPr="00883F82">
              <w:rPr>
                <w:sz w:val="24"/>
              </w:rPr>
              <w:t>], in the State of [</w:t>
            </w:r>
            <w:r w:rsidRPr="00883F82">
              <w:rPr>
                <w:sz w:val="24"/>
                <w:highlight w:val="lightGray"/>
              </w:rPr>
              <w:t>California</w:t>
            </w:r>
            <w:r w:rsidRPr="00883F82">
              <w:rPr>
                <w:sz w:val="24"/>
              </w:rPr>
              <w:t xml:space="preserve">]. </w:t>
            </w:r>
          </w:p>
        </w:tc>
      </w:tr>
      <w:tr w:rsidR="002A5ADE" w14:paraId="49EA262C" w14:textId="77777777" w:rsidTr="009B681F">
        <w:trPr>
          <w:gridAfter w:val="1"/>
          <w:wAfter w:w="180" w:type="dxa"/>
          <w:trHeight w:val="242"/>
        </w:trPr>
        <w:tc>
          <w:tcPr>
            <w:tcW w:w="2044" w:type="dxa"/>
          </w:tcPr>
          <w:p w14:paraId="25147CBB" w14:textId="77777777" w:rsidR="002A5ADE" w:rsidRPr="00883F82" w:rsidRDefault="002A5ADE" w:rsidP="009B681F">
            <w:pPr>
              <w:pStyle w:val="TableParagraph"/>
              <w:spacing w:before="120" w:after="120"/>
              <w:ind w:left="144"/>
              <w:rPr>
                <w:b/>
                <w:sz w:val="24"/>
              </w:rPr>
            </w:pPr>
            <w:r w:rsidRPr="00883F82">
              <w:rPr>
                <w:b/>
                <w:sz w:val="24"/>
              </w:rPr>
              <w:lastRenderedPageBreak/>
              <w:t>Storage Capacity:</w:t>
            </w:r>
          </w:p>
        </w:tc>
        <w:tc>
          <w:tcPr>
            <w:tcW w:w="7018" w:type="dxa"/>
          </w:tcPr>
          <w:p w14:paraId="1E01E63B"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XX</w:t>
            </w:r>
            <w:r>
              <w:rPr>
                <w:rFonts w:ascii="Times New Roman" w:eastAsia="Times New Roman" w:hAnsi="Times New Roman" w:cs="Times New Roman"/>
                <w:sz w:val="24"/>
                <w:szCs w:val="24"/>
              </w:rPr>
              <w:t>] MW</w:t>
            </w:r>
            <w:r>
              <w:rPr>
                <w:rFonts w:ascii="Times New Roman" w:eastAsia="Times New Roman" w:hAnsi="Times New Roman" w:cs="Times New Roman"/>
                <w:sz w:val="24"/>
                <w:szCs w:val="24"/>
                <w:vertAlign w:val="subscript"/>
              </w:rPr>
              <w:t>AC</w:t>
            </w:r>
          </w:p>
        </w:tc>
      </w:tr>
      <w:tr w:rsidR="002A5ADE" w14:paraId="6704340A" w14:textId="77777777" w:rsidTr="009B681F">
        <w:trPr>
          <w:gridAfter w:val="1"/>
          <w:wAfter w:w="180" w:type="dxa"/>
          <w:trHeight w:val="242"/>
        </w:trPr>
        <w:tc>
          <w:tcPr>
            <w:tcW w:w="2044" w:type="dxa"/>
          </w:tcPr>
          <w:p w14:paraId="36C73D6D" w14:textId="77777777" w:rsidR="002A5ADE" w:rsidRPr="00883F82" w:rsidRDefault="002A5ADE" w:rsidP="009B681F">
            <w:pPr>
              <w:pStyle w:val="TableParagraph"/>
              <w:spacing w:before="120" w:after="120"/>
              <w:ind w:left="144"/>
              <w:rPr>
                <w:b/>
                <w:sz w:val="24"/>
              </w:rPr>
            </w:pPr>
            <w:r w:rsidRPr="00883F82">
              <w:rPr>
                <w:b/>
                <w:sz w:val="24"/>
              </w:rPr>
              <w:t>RA Capacity:</w:t>
            </w:r>
          </w:p>
        </w:tc>
        <w:tc>
          <w:tcPr>
            <w:tcW w:w="7018" w:type="dxa"/>
          </w:tcPr>
          <w:p w14:paraId="148C5777" w14:textId="77777777" w:rsidR="002A5ADE" w:rsidRDefault="002A5ADE" w:rsidP="009B681F">
            <w:pPr>
              <w:spacing w:before="120" w:after="120"/>
              <w:ind w:left="157" w:right="180"/>
              <w:jc w:val="both"/>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XX</w:t>
            </w:r>
            <w:r>
              <w:rPr>
                <w:rFonts w:ascii="Times New Roman" w:eastAsia="Times New Roman" w:hAnsi="Times New Roman" w:cs="Times New Roman"/>
                <w:sz w:val="24"/>
                <w:szCs w:val="24"/>
              </w:rPr>
              <w:t>] MW [NQC]</w:t>
            </w:r>
          </w:p>
        </w:tc>
      </w:tr>
      <w:tr w:rsidR="002A5ADE" w14:paraId="5725377D" w14:textId="77777777" w:rsidTr="009B681F">
        <w:trPr>
          <w:gridAfter w:val="1"/>
          <w:wAfter w:w="180" w:type="dxa"/>
          <w:trHeight w:val="60"/>
        </w:trPr>
        <w:tc>
          <w:tcPr>
            <w:tcW w:w="2044" w:type="dxa"/>
          </w:tcPr>
          <w:p w14:paraId="274D4C3C" w14:textId="77777777" w:rsidR="002A5ADE" w:rsidRPr="00883F82" w:rsidRDefault="002A5ADE" w:rsidP="009B681F">
            <w:pPr>
              <w:pStyle w:val="TableParagraph"/>
              <w:spacing w:before="120" w:after="120"/>
              <w:ind w:left="144"/>
              <w:rPr>
                <w:b/>
                <w:sz w:val="24"/>
              </w:rPr>
            </w:pPr>
            <w:r w:rsidRPr="00883F82">
              <w:rPr>
                <w:b/>
                <w:sz w:val="24"/>
              </w:rPr>
              <w:t>Contract Price:</w:t>
            </w:r>
          </w:p>
        </w:tc>
        <w:tc>
          <w:tcPr>
            <w:tcW w:w="7018" w:type="dxa"/>
          </w:tcPr>
          <w:p w14:paraId="5B726326"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RA Product</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XX</w:t>
            </w:r>
            <w:r>
              <w:rPr>
                <w:rFonts w:ascii="Times New Roman" w:eastAsia="Times New Roman" w:hAnsi="Times New Roman" w:cs="Times New Roman"/>
                <w:sz w:val="24"/>
                <w:szCs w:val="24"/>
              </w:rPr>
              <w:t>]/kW-month of delivered RA Capacity.</w:t>
            </w:r>
          </w:p>
          <w:p w14:paraId="4E52A256"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Storage Product</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XX</w:t>
            </w:r>
            <w:r>
              <w:rPr>
                <w:rFonts w:ascii="Times New Roman" w:eastAsia="Times New Roman" w:hAnsi="Times New Roman" w:cs="Times New Roman"/>
                <w:sz w:val="24"/>
                <w:szCs w:val="24"/>
              </w:rPr>
              <w:t xml:space="preserve">]/kW-month of Storage Capacity, as adjusted for the Storage Capacity Test (as set forth in the ESSA), multiplied by the actual round-trip efficiency, and subject to the Availability Adjustment.  </w:t>
            </w:r>
          </w:p>
          <w:p w14:paraId="532AAEE8"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RA Product with Revenue Sharing</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TBD</w:t>
            </w:r>
            <w:r>
              <w:rPr>
                <w:rFonts w:ascii="Times New Roman" w:eastAsia="Times New Roman" w:hAnsi="Times New Roman" w:cs="Times New Roman"/>
                <w:sz w:val="24"/>
                <w:szCs w:val="24"/>
              </w:rPr>
              <w:t>]</w:t>
            </w:r>
          </w:p>
          <w:p w14:paraId="2784E92D"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RA Product + Energy Discharge</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TBD</w:t>
            </w:r>
            <w:r>
              <w:rPr>
                <w:rFonts w:ascii="Times New Roman" w:eastAsia="Times New Roman" w:hAnsi="Times New Roman" w:cs="Times New Roman"/>
                <w:sz w:val="24"/>
                <w:szCs w:val="24"/>
              </w:rPr>
              <w:t>]</w:t>
            </w:r>
          </w:p>
          <w:p w14:paraId="30F23698"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Unique Offer</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TBD</w:t>
            </w:r>
            <w:r>
              <w:rPr>
                <w:rFonts w:ascii="Times New Roman" w:eastAsia="Times New Roman" w:hAnsi="Times New Roman" w:cs="Times New Roman"/>
                <w:sz w:val="24"/>
                <w:szCs w:val="24"/>
              </w:rPr>
              <w:t>]</w:t>
            </w:r>
          </w:p>
        </w:tc>
      </w:tr>
      <w:tr w:rsidR="002A5ADE" w14:paraId="036C8A6B" w14:textId="77777777" w:rsidTr="009B681F">
        <w:trPr>
          <w:gridAfter w:val="1"/>
          <w:wAfter w:w="180" w:type="dxa"/>
          <w:trHeight w:val="98"/>
        </w:trPr>
        <w:tc>
          <w:tcPr>
            <w:tcW w:w="2044" w:type="dxa"/>
          </w:tcPr>
          <w:p w14:paraId="49CEA12F" w14:textId="77777777" w:rsidR="002A5ADE" w:rsidRPr="00883F82" w:rsidRDefault="002A5ADE" w:rsidP="009B681F">
            <w:pPr>
              <w:pStyle w:val="TableParagraph"/>
              <w:spacing w:before="120" w:after="120"/>
              <w:ind w:left="147"/>
              <w:rPr>
                <w:b/>
                <w:sz w:val="24"/>
              </w:rPr>
            </w:pPr>
            <w:r w:rsidRPr="00883F82">
              <w:rPr>
                <w:b/>
                <w:sz w:val="24"/>
              </w:rPr>
              <w:t>Delivery Term:</w:t>
            </w:r>
          </w:p>
        </w:tc>
        <w:tc>
          <w:tcPr>
            <w:tcW w:w="7018" w:type="dxa"/>
          </w:tcPr>
          <w:p w14:paraId="170A5BB2"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___</w:t>
            </w:r>
            <w:r>
              <w:rPr>
                <w:rFonts w:ascii="Times New Roman" w:eastAsia="Times New Roman" w:hAnsi="Times New Roman" w:cs="Times New Roman"/>
                <w:sz w:val="24"/>
                <w:szCs w:val="24"/>
              </w:rPr>
              <w:t>] Contract Years from the Commercial Operation Date, with each 12-month period following the Commercial Operation Date considered a “</w:t>
            </w:r>
            <w:r>
              <w:rPr>
                <w:rFonts w:ascii="Times New Roman" w:eastAsia="Times New Roman" w:hAnsi="Times New Roman" w:cs="Times New Roman"/>
                <w:b/>
                <w:sz w:val="24"/>
                <w:szCs w:val="24"/>
                <w:u w:val="single"/>
              </w:rPr>
              <w:t>Contract Year</w:t>
            </w:r>
            <w:r>
              <w:rPr>
                <w:rFonts w:ascii="Times New Roman" w:eastAsia="Times New Roman" w:hAnsi="Times New Roman" w:cs="Times New Roman"/>
                <w:sz w:val="24"/>
                <w:szCs w:val="24"/>
              </w:rPr>
              <w:t>.”</w:t>
            </w:r>
          </w:p>
        </w:tc>
      </w:tr>
      <w:tr w:rsidR="002A5ADE" w14:paraId="6F6A6162" w14:textId="77777777" w:rsidTr="009B681F">
        <w:trPr>
          <w:gridAfter w:val="1"/>
          <w:wAfter w:w="180" w:type="dxa"/>
          <w:trHeight w:val="98"/>
        </w:trPr>
        <w:tc>
          <w:tcPr>
            <w:tcW w:w="2044" w:type="dxa"/>
          </w:tcPr>
          <w:p w14:paraId="7606DAAC" w14:textId="77777777" w:rsidR="002A5ADE" w:rsidRPr="00883F82" w:rsidRDefault="002A5ADE" w:rsidP="009B681F">
            <w:pPr>
              <w:pStyle w:val="TableParagraph"/>
              <w:spacing w:before="120" w:after="120"/>
              <w:ind w:left="147"/>
              <w:rPr>
                <w:b/>
                <w:sz w:val="24"/>
              </w:rPr>
            </w:pPr>
            <w:r w:rsidRPr="00883F82">
              <w:rPr>
                <w:b/>
                <w:sz w:val="24"/>
              </w:rPr>
              <w:t>Commercial Operation Date:</w:t>
            </w:r>
          </w:p>
        </w:tc>
        <w:tc>
          <w:tcPr>
            <w:tcW w:w="7018" w:type="dxa"/>
          </w:tcPr>
          <w:p w14:paraId="7FFFF456"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Pr>
                <w:rFonts w:ascii="Times New Roman" w:eastAsia="Times New Roman" w:hAnsi="Times New Roman" w:cs="Times New Roman"/>
                <w:b/>
                <w:sz w:val="24"/>
                <w:szCs w:val="24"/>
                <w:u w:val="single"/>
              </w:rPr>
              <w:t>Commercial Operation Date</w:t>
            </w:r>
            <w:r>
              <w:rPr>
                <w:rFonts w:ascii="Times New Roman" w:eastAsia="Times New Roman" w:hAnsi="Times New Roman" w:cs="Times New Roman"/>
                <w:sz w:val="24"/>
                <w:szCs w:val="24"/>
              </w:rPr>
              <w:t>” or “</w:t>
            </w:r>
            <w:r>
              <w:rPr>
                <w:rFonts w:ascii="Times New Roman" w:eastAsia="Times New Roman" w:hAnsi="Times New Roman" w:cs="Times New Roman"/>
                <w:b/>
                <w:sz w:val="24"/>
                <w:szCs w:val="24"/>
                <w:u w:val="single"/>
              </w:rPr>
              <w:t>COD</w:t>
            </w:r>
            <w:r>
              <w:rPr>
                <w:rFonts w:ascii="Times New Roman" w:eastAsia="Times New Roman" w:hAnsi="Times New Roman" w:cs="Times New Roman"/>
                <w:sz w:val="24"/>
                <w:szCs w:val="24"/>
              </w:rPr>
              <w:t>” shall be the later of (a) the Expected Commercial Operation Date or (b) the date on which Commercial Operation is achieved. “</w:t>
            </w:r>
            <w:r>
              <w:rPr>
                <w:rFonts w:ascii="Times New Roman" w:eastAsia="Times New Roman" w:hAnsi="Times New Roman" w:cs="Times New Roman"/>
                <w:b/>
                <w:sz w:val="24"/>
                <w:szCs w:val="24"/>
                <w:u w:val="single"/>
              </w:rPr>
              <w:t>Commercial Operation</w:t>
            </w:r>
            <w:r>
              <w:rPr>
                <w:rFonts w:ascii="Times New Roman" w:eastAsia="Times New Roman" w:hAnsi="Times New Roman" w:cs="Times New Roman"/>
                <w:sz w:val="24"/>
                <w:szCs w:val="24"/>
              </w:rPr>
              <w:t>” means the condition existing when Seller has fulfilled the following conditions precedent in the ESSA and provided notice of same to Buyer, including providing a certificate from an independent engineer to Buyer with respect to subparts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(iii), (iv) and (v): </w:t>
            </w:r>
          </w:p>
          <w:p w14:paraId="194D9130" w14:textId="77777777" w:rsidR="002A5ADE" w:rsidRPr="00883F82" w:rsidRDefault="002A5ADE" w:rsidP="002A5ADE">
            <w:pPr>
              <w:pStyle w:val="ListParagraph"/>
              <w:numPr>
                <w:ilvl w:val="0"/>
                <w:numId w:val="8"/>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Storage Facility has met all Interconnection Agreement requirements</w:t>
            </w:r>
            <w:r>
              <w:rPr>
                <w:rFonts w:ascii="Times New Roman" w:hAnsi="Times New Roman"/>
                <w:sz w:val="24"/>
              </w:rPr>
              <w:t xml:space="preserve"> or Agreements required to set Dynamic Transfer </w:t>
            </w:r>
            <w:r w:rsidRPr="00883F82">
              <w:rPr>
                <w:rFonts w:ascii="Times New Roman" w:hAnsi="Times New Roman"/>
                <w:sz w:val="24"/>
              </w:rPr>
              <w:t xml:space="preserve">and </w:t>
            </w:r>
            <w:proofErr w:type="gramStart"/>
            <w:r w:rsidRPr="00883F82">
              <w:rPr>
                <w:rFonts w:ascii="Times New Roman" w:hAnsi="Times New Roman"/>
                <w:sz w:val="24"/>
              </w:rPr>
              <w:t>is capable of receiving</w:t>
            </w:r>
            <w:proofErr w:type="gramEnd"/>
            <w:r w:rsidRPr="00883F82">
              <w:rPr>
                <w:rFonts w:ascii="Times New Roman" w:hAnsi="Times New Roman"/>
                <w:sz w:val="24"/>
              </w:rPr>
              <w:t xml:space="preserve"> charging energy from, and delivering discharging energy to, the CAISO Balancing Authority;</w:t>
            </w:r>
          </w:p>
          <w:p w14:paraId="4FC7A159" w14:textId="77777777" w:rsidR="002A5ADE" w:rsidRDefault="002A5ADE" w:rsidP="002A5ADE">
            <w:pPr>
              <w:pStyle w:val="ListParagraph"/>
              <w:numPr>
                <w:ilvl w:val="0"/>
                <w:numId w:val="8"/>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Seller has provided Buyer with a copy of written notice from the CAISO that the Storage Facility has achieved Full Capacity Deliverability Status (as defined in the CAISO tariff), if applicable;</w:t>
            </w:r>
          </w:p>
          <w:p w14:paraId="3885B50A" w14:textId="77777777" w:rsidR="002A5ADE" w:rsidRPr="00883F82" w:rsidRDefault="002A5ADE" w:rsidP="002A5ADE">
            <w:pPr>
              <w:pStyle w:val="ListParagraph"/>
              <w:numPr>
                <w:ilvl w:val="0"/>
                <w:numId w:val="8"/>
              </w:numPr>
              <w:spacing w:before="120" w:after="120" w:line="240" w:lineRule="auto"/>
              <w:ind w:left="878" w:right="180" w:hanging="720"/>
              <w:contextualSpacing w:val="0"/>
              <w:jc w:val="both"/>
              <w:rPr>
                <w:rFonts w:ascii="Times New Roman" w:hAnsi="Times New Roman"/>
                <w:sz w:val="24"/>
              </w:rPr>
            </w:pPr>
            <w:r>
              <w:rPr>
                <w:rFonts w:ascii="Times New Roman" w:hAnsi="Times New Roman"/>
                <w:sz w:val="24"/>
              </w:rPr>
              <w:t xml:space="preserve">Seller has provided Buyer Maximum Import Capability (MIC) rights for full RA Product, if applicable; </w:t>
            </w:r>
          </w:p>
          <w:p w14:paraId="7C7F1513" w14:textId="77777777" w:rsidR="002A5ADE" w:rsidRPr="00883F82" w:rsidRDefault="002A5ADE" w:rsidP="002A5ADE">
            <w:pPr>
              <w:pStyle w:val="ListParagraph"/>
              <w:numPr>
                <w:ilvl w:val="0"/>
                <w:numId w:val="8"/>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 xml:space="preserve">Commissioning of equipment has been completed in accordance with the manufacturer’s </w:t>
            </w:r>
            <w:r w:rsidRPr="00F75C35">
              <w:rPr>
                <w:rFonts w:ascii="Times New Roman" w:hAnsi="Times New Roman" w:cs="Times New Roman"/>
                <w:sz w:val="24"/>
                <w:szCs w:val="24"/>
              </w:rPr>
              <w:t>specifications;</w:t>
            </w:r>
            <w:r w:rsidRPr="00883F82">
              <w:rPr>
                <w:rFonts w:ascii="Times New Roman" w:hAnsi="Times New Roman"/>
                <w:sz w:val="24"/>
              </w:rPr>
              <w:t xml:space="preserve"> </w:t>
            </w:r>
          </w:p>
          <w:p w14:paraId="32586EF1" w14:textId="77777777" w:rsidR="002A5ADE" w:rsidRPr="00883F82" w:rsidRDefault="002A5ADE" w:rsidP="002A5ADE">
            <w:pPr>
              <w:pStyle w:val="ListParagraph"/>
              <w:numPr>
                <w:ilvl w:val="0"/>
                <w:numId w:val="8"/>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95% of Storage Capacity has been installed and commissioned;</w:t>
            </w:r>
          </w:p>
          <w:p w14:paraId="05A4E2E7" w14:textId="77777777" w:rsidR="002A5ADE" w:rsidRPr="00883F82" w:rsidRDefault="002A5ADE" w:rsidP="002A5ADE">
            <w:pPr>
              <w:pStyle w:val="ListParagraph"/>
              <w:numPr>
                <w:ilvl w:val="0"/>
                <w:numId w:val="8"/>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lastRenderedPageBreak/>
              <w:t>Storage Facility has successfully completed all testing required by prudent utility practices or any requirement of law to operate the Storage Facility;</w:t>
            </w:r>
          </w:p>
          <w:p w14:paraId="21A1791C" w14:textId="77777777" w:rsidR="002A5ADE" w:rsidRPr="00883F82" w:rsidRDefault="002A5ADE" w:rsidP="002A5ADE">
            <w:pPr>
              <w:pStyle w:val="ListParagraph"/>
              <w:numPr>
                <w:ilvl w:val="0"/>
                <w:numId w:val="8"/>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 xml:space="preserve">All applicable permits and government approvals required for the operation of the Storage Facility have been obtained; </w:t>
            </w:r>
          </w:p>
          <w:p w14:paraId="4AAFDBB2" w14:textId="77777777" w:rsidR="002A5ADE" w:rsidRPr="00B65203" w:rsidRDefault="002A5ADE" w:rsidP="002A5ADE">
            <w:pPr>
              <w:pStyle w:val="ListParagraph"/>
              <w:numPr>
                <w:ilvl w:val="0"/>
                <w:numId w:val="8"/>
              </w:numPr>
              <w:spacing w:before="120" w:after="120" w:line="240" w:lineRule="auto"/>
              <w:ind w:left="878" w:right="180" w:hanging="720"/>
              <w:contextualSpacing w:val="0"/>
              <w:jc w:val="both"/>
            </w:pPr>
            <w:r w:rsidRPr="00883F82">
              <w:rPr>
                <w:rFonts w:ascii="Times New Roman" w:hAnsi="Times New Roman"/>
                <w:sz w:val="24"/>
              </w:rPr>
              <w:t>Seller has obtained all real property rights;</w:t>
            </w:r>
          </w:p>
          <w:p w14:paraId="578C222A" w14:textId="77777777" w:rsidR="002A5ADE" w:rsidRPr="00883F82" w:rsidRDefault="002A5ADE" w:rsidP="002A5ADE">
            <w:pPr>
              <w:pStyle w:val="ListParagraph"/>
              <w:numPr>
                <w:ilvl w:val="0"/>
                <w:numId w:val="8"/>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Security requirements for the Delivery Term have been met; and</w:t>
            </w:r>
          </w:p>
          <w:p w14:paraId="360791AE" w14:textId="77777777" w:rsidR="002A5ADE" w:rsidRPr="00883F82" w:rsidRDefault="002A5ADE" w:rsidP="002A5ADE">
            <w:pPr>
              <w:pStyle w:val="ListParagraph"/>
              <w:numPr>
                <w:ilvl w:val="0"/>
                <w:numId w:val="8"/>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 xml:space="preserve">Insurance requirements for the Storage Facility have been met, with evidence provided in writing to Buyer. </w:t>
            </w:r>
          </w:p>
          <w:p w14:paraId="5B6C93AE"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Seller shall provide notice of expected COD to Buyer in writing no less than sixty (60) days in advance of such date. Seller shall notify Buyer in writing when Seller believes that it has provided the required documentation to Buyer and met the conditions for achieving COD. Buyer shall have five (5) Business Days to approve or reject Seller’s request for COD. Upon Buyer’s approval of Seller’s achievement of COD, Buyer shall provide Seller with written acknowledgement of the COD.</w:t>
            </w:r>
          </w:p>
        </w:tc>
      </w:tr>
      <w:tr w:rsidR="002A5ADE" w14:paraId="5D7B9620" w14:textId="77777777" w:rsidTr="009B681F">
        <w:trPr>
          <w:gridAfter w:val="1"/>
          <w:wAfter w:w="180" w:type="dxa"/>
          <w:trHeight w:val="374"/>
        </w:trPr>
        <w:tc>
          <w:tcPr>
            <w:tcW w:w="2044" w:type="dxa"/>
          </w:tcPr>
          <w:p w14:paraId="5F26F15F" w14:textId="77777777" w:rsidR="002A5ADE" w:rsidRPr="00883F82" w:rsidRDefault="002A5ADE" w:rsidP="009B681F">
            <w:pPr>
              <w:pStyle w:val="TableParagraph"/>
              <w:spacing w:before="120" w:after="120"/>
              <w:ind w:left="147"/>
              <w:rPr>
                <w:b/>
                <w:sz w:val="24"/>
              </w:rPr>
            </w:pPr>
            <w:r w:rsidRPr="00883F82">
              <w:rPr>
                <w:b/>
                <w:sz w:val="24"/>
              </w:rPr>
              <w:lastRenderedPageBreak/>
              <w:t>Guaranteed Construction Start Date:</w:t>
            </w:r>
          </w:p>
        </w:tc>
        <w:tc>
          <w:tcPr>
            <w:tcW w:w="7018" w:type="dxa"/>
          </w:tcPr>
          <w:p w14:paraId="7406C49E"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Pr>
                <w:rFonts w:ascii="Times New Roman" w:eastAsia="Times New Roman" w:hAnsi="Times New Roman" w:cs="Times New Roman"/>
                <w:b/>
                <w:sz w:val="24"/>
                <w:szCs w:val="24"/>
                <w:u w:val="single"/>
              </w:rPr>
              <w:t>Guaranteed Construction Start Date</w:t>
            </w:r>
            <w:r>
              <w:rPr>
                <w:rFonts w:ascii="Times New Roman" w:eastAsia="Times New Roman" w:hAnsi="Times New Roman" w:cs="Times New Roman"/>
                <w:sz w:val="24"/>
                <w:szCs w:val="24"/>
              </w:rPr>
              <w:t>” means the following date [</w:t>
            </w:r>
            <w:r>
              <w:rPr>
                <w:rFonts w:ascii="Times New Roman" w:eastAsia="Times New Roman" w:hAnsi="Times New Roman" w:cs="Times New Roman"/>
                <w:sz w:val="24"/>
                <w:szCs w:val="24"/>
                <w:highlight w:val="lightGray"/>
              </w:rPr>
              <w:t>_______</w:t>
            </w:r>
            <w:r>
              <w:rPr>
                <w:rFonts w:ascii="Times New Roman" w:eastAsia="Times New Roman" w:hAnsi="Times New Roman" w:cs="Times New Roman"/>
                <w:sz w:val="24"/>
                <w:szCs w:val="24"/>
              </w:rPr>
              <w:t>],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42B1CBF2"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Seller fails to achieve the Guaranteed Construction Start Date, Seller shall pay delay damages to Buyer, (the “</w:t>
            </w:r>
            <w:r>
              <w:rPr>
                <w:rFonts w:ascii="Times New Roman" w:eastAsia="Times New Roman" w:hAnsi="Times New Roman" w:cs="Times New Roman"/>
                <w:b/>
                <w:sz w:val="24"/>
                <w:szCs w:val="24"/>
                <w:u w:val="single"/>
              </w:rPr>
              <w:t>Daily Delay Damages</w:t>
            </w:r>
            <w:r>
              <w:rPr>
                <w:rFonts w:ascii="Times New Roman" w:eastAsia="Times New Roman" w:hAnsi="Times New Roman" w:cs="Times New Roman"/>
                <w:sz w:val="24"/>
                <w:szCs w:val="24"/>
              </w:rPr>
              <w:t>”) for each day of delay, in the amount of the Development Security divided by 120. The Daily Delay Damages shall be refundable to Seller if, and only if, Seller achieves COD on or before the Guaranteed COD.</w:t>
            </w:r>
          </w:p>
          <w:p w14:paraId="39E9E825" w14:textId="77777777" w:rsidR="002A5ADE" w:rsidRPr="00883F82" w:rsidRDefault="002A5ADE" w:rsidP="009B681F">
            <w:pPr>
              <w:pStyle w:val="TableParagraph"/>
              <w:spacing w:before="120" w:after="120"/>
              <w:ind w:left="157" w:right="180"/>
              <w:jc w:val="both"/>
              <w:rPr>
                <w:sz w:val="24"/>
              </w:rPr>
            </w:pPr>
            <w:r w:rsidRPr="00883F82">
              <w:rPr>
                <w:sz w:val="24"/>
              </w:rPr>
              <w:t>Failure to achieve Guaranteed Construction Start within 180 days of the Guaranteed Construction Start Date shall constitute an Event of Default, and Buyer shall have the right, in its sole discretion, to terminate the ESSA and retain the Development Security.</w:t>
            </w:r>
          </w:p>
        </w:tc>
      </w:tr>
      <w:tr w:rsidR="002A5ADE" w14:paraId="200D92F0" w14:textId="77777777" w:rsidTr="009B681F">
        <w:trPr>
          <w:gridAfter w:val="1"/>
          <w:wAfter w:w="180" w:type="dxa"/>
          <w:trHeight w:val="373"/>
        </w:trPr>
        <w:tc>
          <w:tcPr>
            <w:tcW w:w="2044" w:type="dxa"/>
          </w:tcPr>
          <w:p w14:paraId="693B3CCA" w14:textId="77777777" w:rsidR="002A5ADE" w:rsidRPr="00883F82" w:rsidRDefault="002A5ADE" w:rsidP="009B681F">
            <w:pPr>
              <w:pStyle w:val="TableParagraph"/>
              <w:spacing w:before="120" w:after="120"/>
              <w:rPr>
                <w:b/>
                <w:sz w:val="24"/>
              </w:rPr>
            </w:pPr>
            <w:r w:rsidRPr="00883F82">
              <w:rPr>
                <w:b/>
                <w:sz w:val="24"/>
              </w:rPr>
              <w:t xml:space="preserve">Guaranteed Commercial </w:t>
            </w:r>
            <w:r w:rsidRPr="00883F82">
              <w:rPr>
                <w:b/>
                <w:sz w:val="24"/>
              </w:rPr>
              <w:lastRenderedPageBreak/>
              <w:t>Operation Date:</w:t>
            </w:r>
          </w:p>
        </w:tc>
        <w:tc>
          <w:tcPr>
            <w:tcW w:w="7018" w:type="dxa"/>
          </w:tcPr>
          <w:p w14:paraId="2097F231"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w:t>
            </w:r>
            <w:r>
              <w:rPr>
                <w:rFonts w:ascii="Times New Roman" w:eastAsia="Times New Roman" w:hAnsi="Times New Roman" w:cs="Times New Roman"/>
                <w:b/>
                <w:sz w:val="24"/>
                <w:szCs w:val="24"/>
                <w:u w:val="single"/>
              </w:rPr>
              <w:t>Guaranteed Commercial Operation Date</w:t>
            </w:r>
            <w:r>
              <w:rPr>
                <w:rFonts w:ascii="Times New Roman" w:eastAsia="Times New Roman" w:hAnsi="Times New Roman" w:cs="Times New Roman"/>
                <w:sz w:val="24"/>
                <w:szCs w:val="24"/>
              </w:rPr>
              <w:t>” or “</w:t>
            </w:r>
            <w:r>
              <w:rPr>
                <w:rFonts w:ascii="Times New Roman" w:eastAsia="Times New Roman" w:hAnsi="Times New Roman" w:cs="Times New Roman"/>
                <w:b/>
                <w:sz w:val="24"/>
                <w:szCs w:val="24"/>
                <w:u w:val="single"/>
              </w:rPr>
              <w:t>Guaranteed COD</w:t>
            </w:r>
            <w:r>
              <w:rPr>
                <w:rFonts w:ascii="Times New Roman" w:eastAsia="Times New Roman" w:hAnsi="Times New Roman" w:cs="Times New Roman"/>
                <w:sz w:val="24"/>
                <w:szCs w:val="24"/>
              </w:rPr>
              <w:t>” means the following date [</w:t>
            </w:r>
            <w:r>
              <w:rPr>
                <w:rFonts w:ascii="Times New Roman" w:eastAsia="Times New Roman" w:hAnsi="Times New Roman" w:cs="Times New Roman"/>
                <w:sz w:val="24"/>
                <w:szCs w:val="24"/>
                <w:highlight w:val="lightGray"/>
              </w:rPr>
              <w:t>_______</w:t>
            </w:r>
            <w:r>
              <w:rPr>
                <w:rFonts w:ascii="Times New Roman" w:eastAsia="Times New Roman" w:hAnsi="Times New Roman" w:cs="Times New Roman"/>
                <w:sz w:val="24"/>
                <w:szCs w:val="24"/>
              </w:rPr>
              <w:t xml:space="preserve">], subject to extensions on </w:t>
            </w:r>
            <w:r>
              <w:rPr>
                <w:rFonts w:ascii="Times New Roman" w:eastAsia="Times New Roman" w:hAnsi="Times New Roman" w:cs="Times New Roman"/>
                <w:sz w:val="24"/>
                <w:szCs w:val="24"/>
              </w:rPr>
              <w:lastRenderedPageBreak/>
              <w:t>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00330F5B"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Seller does not achieve COD of the Facility by the Guaranteed COD, Seller shall pay Delay Damages to the Buyer for each day of delay until Seller achieves COD.</w:t>
            </w:r>
          </w:p>
          <w:p w14:paraId="41E0C976"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Delay Damages</w:t>
            </w:r>
            <w:r>
              <w:rPr>
                <w:rFonts w:ascii="Times New Roman" w:eastAsia="Times New Roman" w:hAnsi="Times New Roman" w:cs="Times New Roman"/>
                <w:sz w:val="24"/>
                <w:szCs w:val="24"/>
              </w:rPr>
              <w:t>” are equal to the Development Security divided by 60. Delay Damages shall be paid for each day of delay and shall be paid to Buyer in advance monthly. A prorated amount will be returned to Seller if COD is achieved during the month for which Delay Damages were paid in advance.</w:t>
            </w:r>
          </w:p>
          <w:p w14:paraId="679D7E92" w14:textId="77777777" w:rsidR="002A5ADE" w:rsidRPr="00883F82" w:rsidRDefault="002A5ADE" w:rsidP="009B681F">
            <w:pPr>
              <w:pStyle w:val="TableParagraph"/>
              <w:spacing w:before="120" w:after="120"/>
              <w:ind w:left="157" w:right="180"/>
              <w:jc w:val="both"/>
              <w:rPr>
                <w:sz w:val="24"/>
              </w:rPr>
            </w:pPr>
            <w:r w:rsidRPr="00883F82">
              <w:rPr>
                <w:sz w:val="24"/>
              </w:rPr>
              <w:t>Failure to achieve COD within 60 days of the Guaranteed COD shall constitute an Event of Default, and Buyer shall have the right, in its sole discretion, to terminate the ESSA and retain the Development Security.</w:t>
            </w:r>
          </w:p>
        </w:tc>
      </w:tr>
      <w:tr w:rsidR="002A5ADE" w14:paraId="636B08DC" w14:textId="77777777" w:rsidTr="009B681F">
        <w:trPr>
          <w:gridAfter w:val="1"/>
          <w:wAfter w:w="180" w:type="dxa"/>
          <w:trHeight w:val="373"/>
        </w:trPr>
        <w:tc>
          <w:tcPr>
            <w:tcW w:w="2044" w:type="dxa"/>
          </w:tcPr>
          <w:p w14:paraId="43CACA3E" w14:textId="77777777" w:rsidR="002A5ADE" w:rsidRPr="00883F82" w:rsidRDefault="002A5ADE" w:rsidP="009B681F">
            <w:pPr>
              <w:pStyle w:val="TableParagraph"/>
              <w:spacing w:before="120" w:after="120"/>
              <w:rPr>
                <w:b/>
                <w:sz w:val="24"/>
              </w:rPr>
            </w:pPr>
            <w:r w:rsidRPr="00883F82">
              <w:rPr>
                <w:b/>
                <w:sz w:val="24"/>
              </w:rPr>
              <w:lastRenderedPageBreak/>
              <w:t>Project Interconnection Point:</w:t>
            </w:r>
          </w:p>
        </w:tc>
        <w:tc>
          <w:tcPr>
            <w:tcW w:w="7018" w:type="dxa"/>
          </w:tcPr>
          <w:p w14:paraId="55BD8A2F"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shall interconnect to [</w:t>
            </w:r>
            <w:r>
              <w:rPr>
                <w:rFonts w:ascii="Times New Roman" w:eastAsia="Times New Roman" w:hAnsi="Times New Roman" w:cs="Times New Roman"/>
                <w:i/>
                <w:sz w:val="24"/>
                <w:szCs w:val="24"/>
                <w:highlight w:val="lightGray"/>
              </w:rPr>
              <w:t>e.g., XX substation</w:t>
            </w:r>
            <w:r>
              <w:rPr>
                <w:rFonts w:ascii="Times New Roman" w:eastAsia="Times New Roman" w:hAnsi="Times New Roman" w:cs="Times New Roman"/>
                <w:sz w:val="24"/>
                <w:szCs w:val="24"/>
              </w:rPr>
              <w:t>] (the “</w:t>
            </w:r>
            <w:r>
              <w:rPr>
                <w:rFonts w:ascii="Times New Roman" w:eastAsia="Times New Roman" w:hAnsi="Times New Roman" w:cs="Times New Roman"/>
                <w:b/>
                <w:sz w:val="24"/>
                <w:szCs w:val="24"/>
                <w:u w:val="single"/>
              </w:rPr>
              <w:t>Interconnection Point</w:t>
            </w:r>
            <w:r>
              <w:rPr>
                <w:rFonts w:ascii="Times New Roman" w:eastAsia="Times New Roman" w:hAnsi="Times New Roman" w:cs="Times New Roman"/>
                <w:sz w:val="24"/>
                <w:szCs w:val="24"/>
              </w:rPr>
              <w:t>”). Seller shall be responsible for all costs of interconnecting the Project to the Interconnection Point.</w:t>
            </w:r>
          </w:p>
        </w:tc>
      </w:tr>
      <w:tr w:rsidR="002A5ADE" w14:paraId="65495371" w14:textId="77777777" w:rsidTr="009B681F">
        <w:trPr>
          <w:gridAfter w:val="1"/>
          <w:wAfter w:w="180" w:type="dxa"/>
          <w:trHeight w:val="373"/>
        </w:trPr>
        <w:tc>
          <w:tcPr>
            <w:tcW w:w="2044" w:type="dxa"/>
          </w:tcPr>
          <w:p w14:paraId="1C3FCD52" w14:textId="77777777" w:rsidR="002A5ADE" w:rsidRPr="00883F82" w:rsidRDefault="002A5ADE" w:rsidP="009B681F">
            <w:pPr>
              <w:pStyle w:val="TableParagraph"/>
              <w:spacing w:before="120" w:after="120"/>
              <w:rPr>
                <w:b/>
                <w:sz w:val="24"/>
              </w:rPr>
            </w:pPr>
            <w:r w:rsidRPr="00883F82">
              <w:rPr>
                <w:b/>
                <w:sz w:val="24"/>
              </w:rPr>
              <w:t>Delivery Point:</w:t>
            </w:r>
          </w:p>
        </w:tc>
        <w:tc>
          <w:tcPr>
            <w:tcW w:w="7018" w:type="dxa"/>
          </w:tcPr>
          <w:p w14:paraId="56B47DC2"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Delivery Point</w:t>
            </w:r>
            <w:r>
              <w:rPr>
                <w:rFonts w:ascii="Times New Roman" w:eastAsia="Times New Roman" w:hAnsi="Times New Roman" w:cs="Times New Roman"/>
                <w:sz w:val="24"/>
                <w:szCs w:val="24"/>
              </w:rPr>
              <w:t xml:space="preserve"> means [</w:t>
            </w:r>
            <w:r>
              <w:rPr>
                <w:rFonts w:ascii="Times New Roman" w:eastAsia="Times New Roman" w:hAnsi="Times New Roman" w:cs="Times New Roman"/>
                <w:sz w:val="24"/>
                <w:szCs w:val="24"/>
                <w:highlight w:val="lightGray"/>
              </w:rPr>
              <w:t xml:space="preserve">the Storage Facility </w:t>
            </w:r>
            <w:proofErr w:type="spellStart"/>
            <w:r>
              <w:rPr>
                <w:rFonts w:ascii="Times New Roman" w:eastAsia="Times New Roman" w:hAnsi="Times New Roman" w:cs="Times New Roman"/>
                <w:sz w:val="24"/>
                <w:szCs w:val="24"/>
                <w:highlight w:val="lightGray"/>
              </w:rPr>
              <w:t>Pnode</w:t>
            </w:r>
            <w:proofErr w:type="spellEnd"/>
            <w:r>
              <w:rPr>
                <w:rFonts w:ascii="Times New Roman" w:eastAsia="Times New Roman" w:hAnsi="Times New Roman" w:cs="Times New Roman"/>
                <w:sz w:val="24"/>
                <w:szCs w:val="24"/>
              </w:rPr>
              <w:t>] on the CAISO grid.</w:t>
            </w:r>
          </w:p>
        </w:tc>
      </w:tr>
      <w:tr w:rsidR="002A5ADE" w14:paraId="6692591C" w14:textId="77777777" w:rsidTr="009B681F">
        <w:trPr>
          <w:gridAfter w:val="1"/>
          <w:wAfter w:w="180" w:type="dxa"/>
          <w:trHeight w:val="373"/>
        </w:trPr>
        <w:tc>
          <w:tcPr>
            <w:tcW w:w="2044" w:type="dxa"/>
          </w:tcPr>
          <w:p w14:paraId="4912F955" w14:textId="77777777" w:rsidR="002A5ADE" w:rsidRPr="00883F82" w:rsidRDefault="002A5ADE" w:rsidP="009B681F">
            <w:pPr>
              <w:pStyle w:val="TableParagraph"/>
              <w:spacing w:before="120" w:after="120"/>
              <w:rPr>
                <w:b/>
                <w:sz w:val="24"/>
              </w:rPr>
            </w:pPr>
            <w:r w:rsidRPr="00883F82">
              <w:rPr>
                <w:b/>
                <w:sz w:val="24"/>
              </w:rPr>
              <w:t>Deliverability:</w:t>
            </w:r>
          </w:p>
        </w:tc>
        <w:tc>
          <w:tcPr>
            <w:tcW w:w="7018" w:type="dxa"/>
          </w:tcPr>
          <w:p w14:paraId="77F3FF34" w14:textId="77777777" w:rsidR="002A5ADE" w:rsidRDefault="002A5ADE" w:rsidP="009B681F">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Facility will have Full Capacity Deliverability Status by the Commercial Operation Date.</w:t>
            </w:r>
          </w:p>
        </w:tc>
      </w:tr>
      <w:tr w:rsidR="002A5ADE" w14:paraId="6DA2D32F" w14:textId="77777777" w:rsidTr="009B681F">
        <w:trPr>
          <w:gridAfter w:val="1"/>
          <w:wAfter w:w="180" w:type="dxa"/>
          <w:trHeight w:val="368"/>
        </w:trPr>
        <w:tc>
          <w:tcPr>
            <w:tcW w:w="2044" w:type="dxa"/>
          </w:tcPr>
          <w:p w14:paraId="177184AE" w14:textId="77777777" w:rsidR="002A5ADE" w:rsidRPr="00883F82" w:rsidRDefault="002A5ADE" w:rsidP="009B681F">
            <w:pPr>
              <w:pStyle w:val="TableParagraph"/>
              <w:spacing w:before="120" w:after="120"/>
              <w:rPr>
                <w:b/>
                <w:sz w:val="24"/>
              </w:rPr>
            </w:pPr>
            <w:r w:rsidRPr="00883F82">
              <w:rPr>
                <w:b/>
                <w:sz w:val="24"/>
              </w:rPr>
              <w:t>Site Control:</w:t>
            </w:r>
          </w:p>
        </w:tc>
        <w:tc>
          <w:tcPr>
            <w:tcW w:w="7018" w:type="dxa"/>
          </w:tcPr>
          <w:p w14:paraId="78FBC433" w14:textId="77777777" w:rsidR="002A5ADE" w:rsidRPr="00883F82" w:rsidRDefault="002A5ADE" w:rsidP="009B681F">
            <w:pPr>
              <w:pStyle w:val="TableParagraph"/>
              <w:spacing w:before="120" w:after="120"/>
              <w:ind w:left="157" w:right="180"/>
              <w:jc w:val="both"/>
              <w:rPr>
                <w:sz w:val="24"/>
              </w:rPr>
            </w:pPr>
            <w:r w:rsidRPr="00883F82">
              <w:rPr>
                <w:sz w:val="24"/>
              </w:rPr>
              <w:t>Seller shall maintain site control throughout the Delivery Term.</w:t>
            </w:r>
          </w:p>
        </w:tc>
      </w:tr>
      <w:tr w:rsidR="002A5ADE" w14:paraId="1408AA03" w14:textId="77777777" w:rsidTr="009B681F">
        <w:trPr>
          <w:gridAfter w:val="1"/>
          <w:wAfter w:w="180" w:type="dxa"/>
          <w:trHeight w:val="626"/>
        </w:trPr>
        <w:tc>
          <w:tcPr>
            <w:tcW w:w="2044" w:type="dxa"/>
          </w:tcPr>
          <w:p w14:paraId="1A8C9941" w14:textId="77777777" w:rsidR="002A5ADE" w:rsidRPr="00883F82" w:rsidRDefault="002A5ADE" w:rsidP="009B681F">
            <w:pPr>
              <w:pStyle w:val="TableParagraph"/>
              <w:spacing w:before="120" w:after="120"/>
              <w:rPr>
                <w:b/>
                <w:sz w:val="24"/>
              </w:rPr>
            </w:pPr>
            <w:r w:rsidRPr="00883F82">
              <w:rPr>
                <w:b/>
                <w:sz w:val="24"/>
              </w:rPr>
              <w:t>Permits and Approvals:</w:t>
            </w:r>
          </w:p>
        </w:tc>
        <w:tc>
          <w:tcPr>
            <w:tcW w:w="7018" w:type="dxa"/>
          </w:tcPr>
          <w:p w14:paraId="1EE00ABD" w14:textId="77777777" w:rsidR="002A5ADE" w:rsidRPr="00883F82" w:rsidRDefault="002A5ADE" w:rsidP="009B681F">
            <w:pPr>
              <w:pStyle w:val="TableParagraph"/>
              <w:spacing w:before="120" w:after="120"/>
              <w:ind w:left="157" w:right="180"/>
              <w:jc w:val="both"/>
              <w:rPr>
                <w:sz w:val="24"/>
              </w:rPr>
            </w:pPr>
            <w:r w:rsidRPr="00883F82">
              <w:rPr>
                <w:sz w:val="24"/>
              </w:rPr>
              <w:t xml:space="preserve">Seller shall obtain </w:t>
            </w:r>
            <w:proofErr w:type="gramStart"/>
            <w:r w:rsidRPr="00883F82">
              <w:rPr>
                <w:sz w:val="24"/>
              </w:rPr>
              <w:t>any and all</w:t>
            </w:r>
            <w:proofErr w:type="gramEnd"/>
            <w:r w:rsidRPr="00883F82">
              <w:rPr>
                <w:sz w:val="24"/>
              </w:rPr>
              <w:t xml:space="preserve"> permits and approvals, including without limitation, environmental clearance under the California Environmental Quality Act (“</w:t>
            </w:r>
            <w:r w:rsidRPr="00883F82">
              <w:rPr>
                <w:b/>
                <w:sz w:val="24"/>
                <w:u w:val="single"/>
              </w:rPr>
              <w:t>CEQA</w:t>
            </w:r>
            <w:r w:rsidRPr="00883F82">
              <w:rPr>
                <w:sz w:val="24"/>
              </w:rPr>
              <w:t>”) or other environmental law, from the local jurisdiction where the Project is or will be constructed. Buyer is simply purchasing power and does not intend to be the lead agency for the Project.</w:t>
            </w:r>
          </w:p>
        </w:tc>
      </w:tr>
      <w:tr w:rsidR="002A5ADE" w14:paraId="3E6C29F0" w14:textId="77777777" w:rsidTr="009B681F">
        <w:trPr>
          <w:gridAfter w:val="1"/>
          <w:wAfter w:w="180" w:type="dxa"/>
          <w:trHeight w:val="371"/>
        </w:trPr>
        <w:tc>
          <w:tcPr>
            <w:tcW w:w="2044" w:type="dxa"/>
          </w:tcPr>
          <w:p w14:paraId="2B6EF528" w14:textId="77777777" w:rsidR="002A5ADE" w:rsidRPr="00883F82" w:rsidRDefault="002A5ADE" w:rsidP="009B681F">
            <w:pPr>
              <w:pStyle w:val="TableParagraph"/>
              <w:spacing w:before="120" w:after="120"/>
              <w:rPr>
                <w:b/>
                <w:sz w:val="24"/>
              </w:rPr>
            </w:pPr>
            <w:r w:rsidRPr="00883F82">
              <w:rPr>
                <w:b/>
                <w:sz w:val="24"/>
              </w:rPr>
              <w:t>Project Development Milestones:</w:t>
            </w:r>
          </w:p>
        </w:tc>
        <w:tc>
          <w:tcPr>
            <w:tcW w:w="7018" w:type="dxa"/>
          </w:tcPr>
          <w:p w14:paraId="5ABFBE9F" w14:textId="77777777" w:rsidR="002A5ADE" w:rsidRDefault="002A5ADE" w:rsidP="002A5ADE">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xml:space="preserve">] – receipt of CEC pre-certification </w:t>
            </w:r>
          </w:p>
          <w:p w14:paraId="0900B15B" w14:textId="77777777" w:rsidR="002A5ADE" w:rsidRDefault="002A5ADE" w:rsidP="002A5ADE">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execution of Interconnection Agreement</w:t>
            </w:r>
          </w:p>
          <w:p w14:paraId="7AA0B07E" w14:textId="77777777" w:rsidR="002A5ADE" w:rsidRDefault="002A5ADE" w:rsidP="002A5ADE">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procurement of major equipment</w:t>
            </w:r>
          </w:p>
          <w:p w14:paraId="019FDA12" w14:textId="77777777" w:rsidR="002A5ADE" w:rsidRDefault="002A5ADE" w:rsidP="002A5ADE">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lastRenderedPageBreak/>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xml:space="preserve">] – obtain federal and state discretionary permits </w:t>
            </w:r>
          </w:p>
          <w:p w14:paraId="6C7DA799" w14:textId="77777777" w:rsidR="002A5ADE" w:rsidRDefault="002A5ADE" w:rsidP="002A5ADE">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Guaranteed Construction Start Date</w:t>
            </w:r>
          </w:p>
          <w:p w14:paraId="2B93883A" w14:textId="77777777" w:rsidR="002A5ADE" w:rsidRDefault="002A5ADE" w:rsidP="002A5ADE">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obtain Full Capacity Deliverability Status, if applicable</w:t>
            </w:r>
          </w:p>
          <w:p w14:paraId="55DDF0CF" w14:textId="77777777" w:rsidR="002A5ADE" w:rsidRDefault="002A5ADE" w:rsidP="002A5ADE">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Guaranteed Commercial Operation Date</w:t>
            </w:r>
          </w:p>
        </w:tc>
      </w:tr>
      <w:tr w:rsidR="002A5ADE" w14:paraId="774BCF96" w14:textId="77777777" w:rsidTr="009B681F">
        <w:trPr>
          <w:gridAfter w:val="1"/>
          <w:wAfter w:w="180" w:type="dxa"/>
          <w:trHeight w:val="373"/>
        </w:trPr>
        <w:tc>
          <w:tcPr>
            <w:tcW w:w="2044" w:type="dxa"/>
          </w:tcPr>
          <w:p w14:paraId="5691B5E0" w14:textId="77777777" w:rsidR="002A5ADE" w:rsidRPr="00883F82" w:rsidRDefault="002A5ADE" w:rsidP="009B681F">
            <w:pPr>
              <w:pStyle w:val="TableParagraph"/>
              <w:spacing w:before="120" w:after="120"/>
              <w:rPr>
                <w:b/>
                <w:sz w:val="24"/>
              </w:rPr>
            </w:pPr>
            <w:r w:rsidRPr="00883F82">
              <w:rPr>
                <w:b/>
                <w:sz w:val="24"/>
              </w:rPr>
              <w:lastRenderedPageBreak/>
              <w:t>Maximum Storage Level:</w:t>
            </w:r>
          </w:p>
        </w:tc>
        <w:tc>
          <w:tcPr>
            <w:tcW w:w="7018" w:type="dxa"/>
          </w:tcPr>
          <w:p w14:paraId="2EFB3C7A" w14:textId="77777777" w:rsidR="002A5ADE" w:rsidRPr="00883F82" w:rsidRDefault="002A5ADE" w:rsidP="009B681F">
            <w:pPr>
              <w:pStyle w:val="TableParagraph"/>
              <w:spacing w:before="120" w:after="120"/>
              <w:ind w:left="157" w:right="180"/>
              <w:jc w:val="both"/>
              <w:rPr>
                <w:sz w:val="24"/>
              </w:rPr>
            </w:pPr>
            <w:r w:rsidRPr="00883F82">
              <w:rPr>
                <w:sz w:val="24"/>
              </w:rPr>
              <w:t>[</w:t>
            </w:r>
            <w:r w:rsidRPr="00883F82">
              <w:rPr>
                <w:sz w:val="24"/>
                <w:highlight w:val="lightGray"/>
              </w:rPr>
              <w:t>XX</w:t>
            </w:r>
            <w:r w:rsidRPr="00883F82">
              <w:rPr>
                <w:sz w:val="24"/>
              </w:rPr>
              <w:t>] MWh [number in MWh representing maximum amount of energy that may be discharged from the Storage Facility]</w:t>
            </w:r>
          </w:p>
        </w:tc>
      </w:tr>
      <w:tr w:rsidR="002A5ADE" w14:paraId="72E9D769" w14:textId="77777777" w:rsidTr="009B681F">
        <w:trPr>
          <w:gridAfter w:val="1"/>
          <w:wAfter w:w="180" w:type="dxa"/>
          <w:trHeight w:val="371"/>
        </w:trPr>
        <w:tc>
          <w:tcPr>
            <w:tcW w:w="2044" w:type="dxa"/>
          </w:tcPr>
          <w:p w14:paraId="3267A155" w14:textId="77777777" w:rsidR="002A5ADE" w:rsidRPr="00883F82" w:rsidRDefault="002A5ADE" w:rsidP="009B681F">
            <w:pPr>
              <w:pStyle w:val="TableParagraph"/>
              <w:spacing w:before="120" w:after="120"/>
              <w:rPr>
                <w:b/>
                <w:sz w:val="24"/>
              </w:rPr>
            </w:pPr>
            <w:r w:rsidRPr="00883F82">
              <w:rPr>
                <w:b/>
                <w:sz w:val="24"/>
              </w:rPr>
              <w:t>Minimum Storage Level:</w:t>
            </w:r>
          </w:p>
        </w:tc>
        <w:tc>
          <w:tcPr>
            <w:tcW w:w="7018" w:type="dxa"/>
          </w:tcPr>
          <w:p w14:paraId="4CA50CD3" w14:textId="77777777" w:rsidR="002A5ADE" w:rsidRPr="00883F82" w:rsidRDefault="002A5ADE" w:rsidP="009B681F">
            <w:pPr>
              <w:pStyle w:val="TableParagraph"/>
              <w:spacing w:before="120" w:after="120"/>
              <w:ind w:left="157" w:right="180"/>
              <w:jc w:val="both"/>
              <w:rPr>
                <w:sz w:val="24"/>
              </w:rPr>
            </w:pPr>
            <w:r w:rsidRPr="00883F82">
              <w:rPr>
                <w:sz w:val="24"/>
              </w:rPr>
              <w:t>[</w:t>
            </w:r>
            <w:r w:rsidRPr="00883F82">
              <w:rPr>
                <w:sz w:val="24"/>
                <w:highlight w:val="lightGray"/>
              </w:rPr>
              <w:t>XX</w:t>
            </w:r>
            <w:r w:rsidRPr="00883F82">
              <w:rPr>
                <w:sz w:val="24"/>
              </w:rPr>
              <w:t>] MWh [number in MWh representing the lowest level to which the Storage Facility may be discharged]</w:t>
            </w:r>
          </w:p>
        </w:tc>
      </w:tr>
      <w:tr w:rsidR="002A5ADE" w14:paraId="4F3DE9D7" w14:textId="77777777" w:rsidTr="009B681F">
        <w:trPr>
          <w:gridAfter w:val="1"/>
          <w:wAfter w:w="180" w:type="dxa"/>
          <w:trHeight w:val="373"/>
        </w:trPr>
        <w:tc>
          <w:tcPr>
            <w:tcW w:w="2044" w:type="dxa"/>
          </w:tcPr>
          <w:p w14:paraId="0FF9D268" w14:textId="77777777" w:rsidR="002A5ADE" w:rsidRPr="00883F82" w:rsidRDefault="002A5ADE" w:rsidP="009B681F">
            <w:pPr>
              <w:pStyle w:val="TableParagraph"/>
              <w:spacing w:before="120" w:after="120"/>
              <w:ind w:right="178"/>
              <w:rPr>
                <w:b/>
                <w:sz w:val="24"/>
              </w:rPr>
            </w:pPr>
            <w:r w:rsidRPr="00883F82">
              <w:rPr>
                <w:b/>
                <w:sz w:val="24"/>
              </w:rPr>
              <w:t>Maximum Charging Capacity:</w:t>
            </w:r>
          </w:p>
        </w:tc>
        <w:tc>
          <w:tcPr>
            <w:tcW w:w="7018" w:type="dxa"/>
          </w:tcPr>
          <w:p w14:paraId="7E098B9C" w14:textId="77777777" w:rsidR="002A5ADE" w:rsidRPr="00883F82" w:rsidRDefault="002A5ADE" w:rsidP="009B681F">
            <w:pPr>
              <w:pStyle w:val="TableParagraph"/>
              <w:spacing w:before="120" w:after="120"/>
              <w:ind w:left="157" w:right="180"/>
              <w:jc w:val="both"/>
              <w:rPr>
                <w:sz w:val="24"/>
              </w:rPr>
            </w:pPr>
            <w:r w:rsidRPr="00883F82">
              <w:rPr>
                <w:sz w:val="24"/>
              </w:rPr>
              <w:t>[</w:t>
            </w:r>
            <w:r w:rsidRPr="00883F82">
              <w:rPr>
                <w:sz w:val="24"/>
                <w:highlight w:val="lightGray"/>
              </w:rPr>
              <w:t>XX</w:t>
            </w:r>
            <w:r w:rsidRPr="00883F82">
              <w:rPr>
                <w:sz w:val="24"/>
              </w:rPr>
              <w:t xml:space="preserve">] MW [highest level at which Storage Facility may be </w:t>
            </w:r>
            <w:r w:rsidRPr="00F75C35">
              <w:rPr>
                <w:sz w:val="24"/>
                <w:szCs w:val="24"/>
              </w:rPr>
              <w:t>charged</w:t>
            </w:r>
            <w:r w:rsidRPr="00883F82">
              <w:rPr>
                <w:sz w:val="24"/>
              </w:rPr>
              <w:t xml:space="preserve">] </w:t>
            </w:r>
          </w:p>
        </w:tc>
      </w:tr>
      <w:tr w:rsidR="002A5ADE" w14:paraId="758F45F1" w14:textId="77777777" w:rsidTr="009B681F">
        <w:trPr>
          <w:gridAfter w:val="1"/>
          <w:wAfter w:w="180" w:type="dxa"/>
          <w:trHeight w:val="625"/>
        </w:trPr>
        <w:tc>
          <w:tcPr>
            <w:tcW w:w="2044" w:type="dxa"/>
          </w:tcPr>
          <w:p w14:paraId="1540B4D9" w14:textId="77777777" w:rsidR="002A5ADE" w:rsidRPr="00883F82" w:rsidRDefault="002A5ADE" w:rsidP="009B681F">
            <w:pPr>
              <w:pStyle w:val="TableParagraph"/>
              <w:spacing w:before="120" w:after="120"/>
              <w:ind w:right="310"/>
              <w:rPr>
                <w:b/>
                <w:sz w:val="24"/>
              </w:rPr>
            </w:pPr>
            <w:r w:rsidRPr="00883F82">
              <w:rPr>
                <w:b/>
                <w:sz w:val="24"/>
              </w:rPr>
              <w:t>Maximum Discharging Capacity:</w:t>
            </w:r>
          </w:p>
        </w:tc>
        <w:tc>
          <w:tcPr>
            <w:tcW w:w="7018" w:type="dxa"/>
          </w:tcPr>
          <w:p w14:paraId="6E66B734" w14:textId="77777777" w:rsidR="002A5ADE" w:rsidRPr="00883F82" w:rsidRDefault="002A5ADE" w:rsidP="009B681F">
            <w:pPr>
              <w:pStyle w:val="TableParagraph"/>
              <w:spacing w:before="120" w:after="120"/>
              <w:ind w:left="157" w:right="180"/>
              <w:jc w:val="both"/>
              <w:rPr>
                <w:sz w:val="24"/>
              </w:rPr>
            </w:pPr>
            <w:r w:rsidRPr="00883F82">
              <w:rPr>
                <w:sz w:val="24"/>
              </w:rPr>
              <w:t>[</w:t>
            </w:r>
            <w:r w:rsidRPr="00883F82">
              <w:rPr>
                <w:sz w:val="24"/>
                <w:highlight w:val="lightGray"/>
              </w:rPr>
              <w:t>XX</w:t>
            </w:r>
            <w:r w:rsidRPr="00883F82">
              <w:rPr>
                <w:sz w:val="24"/>
              </w:rPr>
              <w:t>] MW [number in MW representing the highest level at which the Storage Facility may be discharged]</w:t>
            </w:r>
          </w:p>
        </w:tc>
      </w:tr>
      <w:tr w:rsidR="002A5ADE" w14:paraId="5E35036C" w14:textId="77777777" w:rsidTr="009B681F">
        <w:trPr>
          <w:gridAfter w:val="1"/>
          <w:wAfter w:w="180" w:type="dxa"/>
          <w:trHeight w:val="719"/>
        </w:trPr>
        <w:tc>
          <w:tcPr>
            <w:tcW w:w="2044" w:type="dxa"/>
          </w:tcPr>
          <w:p w14:paraId="147B18BA" w14:textId="77777777" w:rsidR="002A5ADE" w:rsidRPr="00883F82" w:rsidRDefault="002A5ADE" w:rsidP="009B681F">
            <w:pPr>
              <w:pStyle w:val="TableParagraph"/>
              <w:spacing w:before="120" w:after="120"/>
              <w:rPr>
                <w:b/>
                <w:sz w:val="24"/>
              </w:rPr>
            </w:pPr>
            <w:r w:rsidRPr="00883F82">
              <w:rPr>
                <w:b/>
                <w:sz w:val="24"/>
              </w:rPr>
              <w:t>Maximum State of Charge (SOC) during Charging:</w:t>
            </w:r>
          </w:p>
        </w:tc>
        <w:tc>
          <w:tcPr>
            <w:tcW w:w="7018" w:type="dxa"/>
          </w:tcPr>
          <w:p w14:paraId="517059E2" w14:textId="77777777" w:rsidR="002A5ADE" w:rsidRPr="00883F82" w:rsidRDefault="002A5ADE" w:rsidP="009B681F">
            <w:pPr>
              <w:pStyle w:val="TableParagraph"/>
              <w:spacing w:before="120" w:after="120"/>
              <w:ind w:left="157" w:right="183"/>
              <w:jc w:val="both"/>
              <w:rPr>
                <w:sz w:val="24"/>
              </w:rPr>
            </w:pPr>
            <w:r w:rsidRPr="00883F82">
              <w:rPr>
                <w:sz w:val="24"/>
              </w:rPr>
              <w:t xml:space="preserve">100% </w:t>
            </w:r>
          </w:p>
        </w:tc>
      </w:tr>
      <w:tr w:rsidR="002A5ADE" w14:paraId="7319FA8E" w14:textId="77777777" w:rsidTr="009B681F">
        <w:trPr>
          <w:gridAfter w:val="1"/>
          <w:wAfter w:w="180" w:type="dxa"/>
          <w:trHeight w:val="683"/>
        </w:trPr>
        <w:tc>
          <w:tcPr>
            <w:tcW w:w="2044" w:type="dxa"/>
          </w:tcPr>
          <w:p w14:paraId="32D13BA6" w14:textId="77777777" w:rsidR="002A5ADE" w:rsidRPr="00883F82" w:rsidRDefault="002A5ADE" w:rsidP="009B681F">
            <w:pPr>
              <w:pStyle w:val="TableParagraph"/>
              <w:spacing w:before="120" w:after="120"/>
              <w:rPr>
                <w:b/>
                <w:sz w:val="24"/>
              </w:rPr>
            </w:pPr>
            <w:r w:rsidRPr="00883F82">
              <w:rPr>
                <w:b/>
                <w:sz w:val="24"/>
              </w:rPr>
              <w:t>Minimum State of Charge (SOC) during Discharging:</w:t>
            </w:r>
          </w:p>
        </w:tc>
        <w:tc>
          <w:tcPr>
            <w:tcW w:w="7018" w:type="dxa"/>
          </w:tcPr>
          <w:p w14:paraId="1FEA1AFC" w14:textId="77777777" w:rsidR="002A5ADE" w:rsidRPr="00883F82" w:rsidRDefault="002A5ADE" w:rsidP="009B681F">
            <w:pPr>
              <w:pStyle w:val="TableParagraph"/>
              <w:spacing w:before="120" w:after="120"/>
              <w:ind w:left="157" w:right="183"/>
              <w:jc w:val="both"/>
              <w:rPr>
                <w:sz w:val="24"/>
              </w:rPr>
            </w:pPr>
            <w:r w:rsidRPr="00883F82">
              <w:rPr>
                <w:sz w:val="24"/>
              </w:rPr>
              <w:t>0%</w:t>
            </w:r>
          </w:p>
        </w:tc>
      </w:tr>
      <w:tr w:rsidR="002A5ADE" w14:paraId="4801D2F1" w14:textId="77777777" w:rsidTr="009B681F">
        <w:trPr>
          <w:gridAfter w:val="1"/>
          <w:wAfter w:w="180" w:type="dxa"/>
          <w:trHeight w:val="719"/>
        </w:trPr>
        <w:tc>
          <w:tcPr>
            <w:tcW w:w="2044" w:type="dxa"/>
          </w:tcPr>
          <w:p w14:paraId="46ADFE97" w14:textId="77777777" w:rsidR="002A5ADE" w:rsidRPr="00883F82" w:rsidRDefault="002A5ADE" w:rsidP="009B681F">
            <w:pPr>
              <w:pStyle w:val="TableParagraph"/>
              <w:spacing w:before="120" w:after="120"/>
              <w:ind w:left="147"/>
              <w:rPr>
                <w:b/>
                <w:sz w:val="24"/>
              </w:rPr>
            </w:pPr>
            <w:r w:rsidRPr="00883F82">
              <w:rPr>
                <w:b/>
                <w:sz w:val="24"/>
              </w:rPr>
              <w:t>Maximum Round-Trip Efficiency:</w:t>
            </w:r>
          </w:p>
        </w:tc>
        <w:tc>
          <w:tcPr>
            <w:tcW w:w="7018" w:type="dxa"/>
          </w:tcPr>
          <w:p w14:paraId="1C0CBB01"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XX</w:t>
            </w:r>
            <w:r w:rsidRPr="00F75C35">
              <w:rPr>
                <w:rFonts w:ascii="Times New Roman" w:hAnsi="Times New Roman" w:cs="Times New Roman"/>
                <w:sz w:val="24"/>
                <w:szCs w:val="24"/>
              </w:rPr>
              <w:t>]%</w:t>
            </w:r>
            <w:r>
              <w:rPr>
                <w:rFonts w:ascii="Times New Roman" w:eastAsia="Times New Roman" w:hAnsi="Times New Roman" w:cs="Times New Roman"/>
                <w:sz w:val="24"/>
                <w:szCs w:val="24"/>
              </w:rPr>
              <w:t xml:space="preserve"> [peak efficiency of conversion between charging energy and discharging energy (i.e. ratio of maximum charging energy to maximum discharging energy)]</w:t>
            </w:r>
          </w:p>
          <w:p w14:paraId="2F6EC82A" w14:textId="77777777" w:rsidR="002A5ADE" w:rsidRPr="00883F82" w:rsidRDefault="002A5ADE" w:rsidP="009B681F">
            <w:pPr>
              <w:pStyle w:val="TableParagraph"/>
              <w:spacing w:before="120" w:after="120"/>
              <w:ind w:left="157" w:right="183"/>
              <w:jc w:val="both"/>
              <w:rPr>
                <w:sz w:val="24"/>
              </w:rPr>
            </w:pPr>
            <w:r w:rsidRPr="00883F82">
              <w:rPr>
                <w:sz w:val="24"/>
              </w:rPr>
              <w:t>If actual round-trip efficiency is greater than or equal to Maximum Round-Trip Efficiency, then for purposes of calculating the monthly payment amount, the actual round-trip efficiency will be deemed to be 100%.</w:t>
            </w:r>
          </w:p>
        </w:tc>
      </w:tr>
      <w:tr w:rsidR="002A5ADE" w14:paraId="2FF36DE4" w14:textId="77777777" w:rsidTr="009B681F">
        <w:trPr>
          <w:gridAfter w:val="1"/>
          <w:wAfter w:w="180" w:type="dxa"/>
          <w:trHeight w:val="1696"/>
        </w:trPr>
        <w:tc>
          <w:tcPr>
            <w:tcW w:w="2044" w:type="dxa"/>
          </w:tcPr>
          <w:p w14:paraId="09063FAC" w14:textId="77777777" w:rsidR="002A5ADE" w:rsidRPr="00883F82" w:rsidRDefault="002A5ADE" w:rsidP="009B681F">
            <w:pPr>
              <w:pStyle w:val="TableParagraph"/>
              <w:spacing w:before="120" w:after="120"/>
              <w:ind w:left="147"/>
              <w:rPr>
                <w:b/>
                <w:sz w:val="24"/>
              </w:rPr>
            </w:pPr>
            <w:r w:rsidRPr="00883F82">
              <w:rPr>
                <w:b/>
                <w:sz w:val="24"/>
              </w:rPr>
              <w:t>Minimum Round-Trip Efficiency:</w:t>
            </w:r>
          </w:p>
        </w:tc>
        <w:tc>
          <w:tcPr>
            <w:tcW w:w="7018" w:type="dxa"/>
          </w:tcPr>
          <w:p w14:paraId="4FC54DF9" w14:textId="7FD487B3"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XX</w:t>
            </w:r>
            <w:r w:rsidRPr="00F75C35">
              <w:rPr>
                <w:rFonts w:ascii="Times New Roman" w:hAnsi="Times New Roman" w:cs="Times New Roman"/>
                <w:sz w:val="24"/>
                <w:szCs w:val="24"/>
              </w:rPr>
              <w:t>]%</w:t>
            </w:r>
            <w:r>
              <w:rPr>
                <w:rFonts w:ascii="Times New Roman" w:eastAsia="Times New Roman" w:hAnsi="Times New Roman" w:cs="Times New Roman"/>
                <w:sz w:val="24"/>
                <w:szCs w:val="24"/>
              </w:rPr>
              <w:t xml:space="preserve"> [minimum guaranteed efficiency of conversion between charging energy and discharging energy (i.e. ratio of </w:t>
            </w:r>
            <w:r w:rsidR="00AB17EB">
              <w:rPr>
                <w:rFonts w:ascii="Times New Roman" w:eastAsia="Times New Roman" w:hAnsi="Times New Roman" w:cs="Times New Roman"/>
                <w:sz w:val="24"/>
                <w:szCs w:val="24"/>
              </w:rPr>
              <w:t>minimum</w:t>
            </w:r>
            <w:r>
              <w:rPr>
                <w:rFonts w:ascii="Times New Roman" w:eastAsia="Times New Roman" w:hAnsi="Times New Roman" w:cs="Times New Roman"/>
                <w:sz w:val="24"/>
                <w:szCs w:val="24"/>
              </w:rPr>
              <w:t xml:space="preserve"> charging energy to </w:t>
            </w:r>
            <w:r w:rsidR="00AB17EB">
              <w:rPr>
                <w:rFonts w:ascii="Times New Roman" w:eastAsia="Times New Roman" w:hAnsi="Times New Roman" w:cs="Times New Roman"/>
                <w:sz w:val="24"/>
                <w:szCs w:val="24"/>
              </w:rPr>
              <w:t>minimum</w:t>
            </w:r>
            <w:r>
              <w:rPr>
                <w:rFonts w:ascii="Times New Roman" w:eastAsia="Times New Roman" w:hAnsi="Times New Roman" w:cs="Times New Roman"/>
                <w:sz w:val="24"/>
                <w:szCs w:val="24"/>
              </w:rPr>
              <w:t xml:space="preserve"> discharging energy)] measured at the point of interconnection.</w:t>
            </w:r>
          </w:p>
          <w:p w14:paraId="5F4D34E7" w14:textId="77777777" w:rsidR="002A5ADE" w:rsidRPr="00883F82" w:rsidRDefault="002A5ADE" w:rsidP="009B681F">
            <w:pPr>
              <w:pStyle w:val="TableParagraph"/>
              <w:spacing w:before="120" w:after="120"/>
              <w:ind w:left="157" w:right="183"/>
              <w:jc w:val="both"/>
              <w:rPr>
                <w:sz w:val="24"/>
              </w:rPr>
            </w:pPr>
            <w:r w:rsidRPr="00883F82">
              <w:rPr>
                <w:sz w:val="24"/>
              </w:rPr>
              <w:t>If actual round-trip efficiency is less than Minimum Round-Trip Efficiency, then for purposes of calculating the monthly payment amount, the actual round-trip efficiency will be deemed to be 0%.</w:t>
            </w:r>
          </w:p>
        </w:tc>
      </w:tr>
      <w:tr w:rsidR="002A5ADE" w14:paraId="3CA76776" w14:textId="77777777" w:rsidTr="009B681F">
        <w:trPr>
          <w:gridAfter w:val="1"/>
          <w:wAfter w:w="180" w:type="dxa"/>
          <w:trHeight w:val="1696"/>
        </w:trPr>
        <w:tc>
          <w:tcPr>
            <w:tcW w:w="2044" w:type="dxa"/>
          </w:tcPr>
          <w:p w14:paraId="28CB93DA" w14:textId="77777777" w:rsidR="002A5ADE" w:rsidRPr="00883F82" w:rsidRDefault="002A5ADE" w:rsidP="009B681F">
            <w:pPr>
              <w:pStyle w:val="TableParagraph"/>
              <w:spacing w:before="120" w:after="120"/>
              <w:ind w:left="147"/>
              <w:rPr>
                <w:b/>
                <w:sz w:val="24"/>
              </w:rPr>
            </w:pPr>
            <w:r w:rsidRPr="00883F82">
              <w:rPr>
                <w:b/>
                <w:sz w:val="24"/>
              </w:rPr>
              <w:lastRenderedPageBreak/>
              <w:t>Ramp Rate</w:t>
            </w:r>
            <w:r>
              <w:rPr>
                <w:b/>
                <w:sz w:val="24"/>
              </w:rPr>
              <w:t xml:space="preserve"> Range</w:t>
            </w:r>
            <w:r w:rsidRPr="00883F82">
              <w:rPr>
                <w:b/>
                <w:sz w:val="24"/>
              </w:rPr>
              <w:t>:</w:t>
            </w:r>
          </w:p>
        </w:tc>
        <w:tc>
          <w:tcPr>
            <w:tcW w:w="7018" w:type="dxa"/>
          </w:tcPr>
          <w:p w14:paraId="24F3EBBD" w14:textId="77777777" w:rsidR="002A5ADE" w:rsidRPr="00883F82" w:rsidRDefault="002A5ADE" w:rsidP="009B681F">
            <w:pPr>
              <w:pStyle w:val="TableParagraph"/>
              <w:spacing w:before="120" w:after="120"/>
              <w:ind w:left="157" w:right="183"/>
              <w:jc w:val="both"/>
              <w:rPr>
                <w:sz w:val="24"/>
              </w:rPr>
            </w:pPr>
            <w:r w:rsidRPr="00883F82">
              <w:rPr>
                <w:sz w:val="24"/>
              </w:rPr>
              <w:t>[</w:t>
            </w:r>
            <w:r w:rsidRPr="00883F82">
              <w:rPr>
                <w:sz w:val="24"/>
                <w:highlight w:val="lightGray"/>
              </w:rPr>
              <w:t>XX</w:t>
            </w:r>
            <w:r w:rsidRPr="00883F82">
              <w:rPr>
                <w:sz w:val="24"/>
              </w:rPr>
              <w:t>] MW/minute</w:t>
            </w:r>
            <w:r>
              <w:rPr>
                <w:sz w:val="24"/>
              </w:rPr>
              <w:t xml:space="preserve"> to [XX] MW/minute</w:t>
            </w:r>
          </w:p>
        </w:tc>
      </w:tr>
      <w:tr w:rsidR="002A5ADE" w14:paraId="328C4392" w14:textId="77777777" w:rsidTr="009B681F">
        <w:trPr>
          <w:gridAfter w:val="1"/>
          <w:wAfter w:w="180" w:type="dxa"/>
          <w:trHeight w:val="374"/>
        </w:trPr>
        <w:tc>
          <w:tcPr>
            <w:tcW w:w="2044" w:type="dxa"/>
          </w:tcPr>
          <w:p w14:paraId="7D38DD60" w14:textId="77777777" w:rsidR="002A5ADE" w:rsidRPr="00883F82" w:rsidRDefault="002A5ADE" w:rsidP="009B681F">
            <w:pPr>
              <w:pStyle w:val="TableParagraph"/>
              <w:spacing w:before="120" w:after="120"/>
              <w:ind w:left="147"/>
              <w:rPr>
                <w:b/>
                <w:sz w:val="24"/>
              </w:rPr>
            </w:pPr>
            <w:r w:rsidRPr="00883F82">
              <w:rPr>
                <w:b/>
                <w:sz w:val="24"/>
              </w:rPr>
              <w:t>Monthly</w:t>
            </w:r>
            <w:r>
              <w:rPr>
                <w:b/>
                <w:sz w:val="24"/>
              </w:rPr>
              <w:t>/Annual</w:t>
            </w:r>
            <w:r w:rsidRPr="00883F82">
              <w:rPr>
                <w:b/>
                <w:sz w:val="24"/>
              </w:rPr>
              <w:t xml:space="preserve"> Cycles:</w:t>
            </w:r>
          </w:p>
        </w:tc>
        <w:tc>
          <w:tcPr>
            <w:tcW w:w="7018" w:type="dxa"/>
          </w:tcPr>
          <w:p w14:paraId="09919EF8" w14:textId="77777777" w:rsidR="002A5ADE" w:rsidRPr="00883F82" w:rsidRDefault="002A5ADE" w:rsidP="009B681F">
            <w:pPr>
              <w:pStyle w:val="TableParagraph"/>
              <w:spacing w:before="120" w:after="120"/>
              <w:ind w:left="157" w:right="183"/>
              <w:jc w:val="both"/>
              <w:rPr>
                <w:sz w:val="24"/>
              </w:rPr>
            </w:pPr>
            <w:r w:rsidRPr="00883F82">
              <w:rPr>
                <w:sz w:val="24"/>
              </w:rPr>
              <w:t>[</w:t>
            </w:r>
            <w:r w:rsidRPr="00883F82">
              <w:rPr>
                <w:sz w:val="24"/>
                <w:highlight w:val="lightGray"/>
              </w:rPr>
              <w:t xml:space="preserve">Number of times per contract term </w:t>
            </w:r>
            <w:r w:rsidRPr="00F75C35">
              <w:rPr>
                <w:sz w:val="24"/>
                <w:szCs w:val="24"/>
                <w:highlight w:val="lightGray"/>
              </w:rPr>
              <w:t>Buyer</w:t>
            </w:r>
            <w:r w:rsidRPr="00883F82">
              <w:rPr>
                <w:sz w:val="24"/>
                <w:highlight w:val="lightGray"/>
              </w:rPr>
              <w:t xml:space="preserve"> may fully charge and discharge the Storage Facility. A full charge will be deemed to have occurred when the cumulative amount of energy added to the Storage Facility over the course of a calendar month equals the Maximum</w:t>
            </w:r>
            <w:r w:rsidRPr="00883F82">
              <w:rPr>
                <w:spacing w:val="-15"/>
                <w:sz w:val="24"/>
                <w:highlight w:val="lightGray"/>
              </w:rPr>
              <w:t xml:space="preserve"> </w:t>
            </w:r>
            <w:r w:rsidRPr="00883F82">
              <w:rPr>
                <w:sz w:val="24"/>
                <w:highlight w:val="lightGray"/>
              </w:rPr>
              <w:t>Storage</w:t>
            </w:r>
            <w:r w:rsidRPr="00883F82">
              <w:rPr>
                <w:spacing w:val="-15"/>
                <w:sz w:val="24"/>
                <w:highlight w:val="lightGray"/>
              </w:rPr>
              <w:t xml:space="preserve"> </w:t>
            </w:r>
            <w:r w:rsidRPr="00883F82">
              <w:rPr>
                <w:sz w:val="24"/>
                <w:highlight w:val="lightGray"/>
              </w:rPr>
              <w:t>Level.</w:t>
            </w:r>
            <w:r w:rsidRPr="00883F82">
              <w:rPr>
                <w:spacing w:val="25"/>
                <w:sz w:val="24"/>
                <w:highlight w:val="lightGray"/>
              </w:rPr>
              <w:t xml:space="preserve"> </w:t>
            </w:r>
            <w:r w:rsidRPr="00883F82">
              <w:rPr>
                <w:sz w:val="24"/>
                <w:highlight w:val="lightGray"/>
              </w:rPr>
              <w:t>This</w:t>
            </w:r>
            <w:r w:rsidRPr="00883F82">
              <w:rPr>
                <w:spacing w:val="-15"/>
                <w:sz w:val="24"/>
                <w:highlight w:val="lightGray"/>
              </w:rPr>
              <w:t xml:space="preserve"> </w:t>
            </w:r>
            <w:r w:rsidRPr="00883F82">
              <w:rPr>
                <w:sz w:val="24"/>
                <w:highlight w:val="lightGray"/>
              </w:rPr>
              <w:t>could</w:t>
            </w:r>
            <w:r w:rsidRPr="00883F82">
              <w:rPr>
                <w:spacing w:val="-16"/>
                <w:sz w:val="24"/>
                <w:highlight w:val="lightGray"/>
              </w:rPr>
              <w:t xml:space="preserve"> </w:t>
            </w:r>
            <w:r w:rsidRPr="00883F82">
              <w:rPr>
                <w:sz w:val="24"/>
                <w:highlight w:val="lightGray"/>
              </w:rPr>
              <w:t>occur</w:t>
            </w:r>
            <w:r w:rsidRPr="00883F82">
              <w:rPr>
                <w:spacing w:val="-15"/>
                <w:sz w:val="24"/>
                <w:highlight w:val="lightGray"/>
              </w:rPr>
              <w:t xml:space="preserve"> </w:t>
            </w:r>
            <w:r w:rsidRPr="00883F82">
              <w:rPr>
                <w:sz w:val="24"/>
                <w:highlight w:val="lightGray"/>
              </w:rPr>
              <w:t>in</w:t>
            </w:r>
            <w:r w:rsidRPr="00883F82">
              <w:rPr>
                <w:spacing w:val="-15"/>
                <w:sz w:val="24"/>
                <w:highlight w:val="lightGray"/>
              </w:rPr>
              <w:t xml:space="preserve"> </w:t>
            </w:r>
            <w:r w:rsidRPr="00883F82">
              <w:rPr>
                <w:sz w:val="24"/>
                <w:highlight w:val="lightGray"/>
              </w:rPr>
              <w:t>one</w:t>
            </w:r>
            <w:r w:rsidRPr="00883F82">
              <w:rPr>
                <w:spacing w:val="-15"/>
                <w:sz w:val="24"/>
                <w:highlight w:val="lightGray"/>
              </w:rPr>
              <w:t xml:space="preserve"> </w:t>
            </w:r>
            <w:r w:rsidRPr="00883F82">
              <w:rPr>
                <w:sz w:val="24"/>
                <w:highlight w:val="lightGray"/>
              </w:rPr>
              <w:t>continuous</w:t>
            </w:r>
            <w:r w:rsidRPr="00883F82">
              <w:rPr>
                <w:spacing w:val="-15"/>
                <w:sz w:val="24"/>
                <w:highlight w:val="lightGray"/>
              </w:rPr>
              <w:t xml:space="preserve"> </w:t>
            </w:r>
            <w:r w:rsidRPr="00883F82">
              <w:rPr>
                <w:sz w:val="24"/>
                <w:highlight w:val="lightGray"/>
              </w:rPr>
              <w:t>charge or over multiple charges, even if some energy is discharged in between. The inverse is true for a full</w:t>
            </w:r>
            <w:r w:rsidRPr="00883F82">
              <w:rPr>
                <w:spacing w:val="-6"/>
                <w:sz w:val="24"/>
                <w:highlight w:val="lightGray"/>
              </w:rPr>
              <w:t xml:space="preserve"> </w:t>
            </w:r>
            <w:r w:rsidRPr="00883F82">
              <w:rPr>
                <w:sz w:val="24"/>
                <w:highlight w:val="lightGray"/>
              </w:rPr>
              <w:t>discharge.</w:t>
            </w:r>
            <w:r w:rsidRPr="00883F82">
              <w:rPr>
                <w:sz w:val="24"/>
              </w:rPr>
              <w:t>]</w:t>
            </w:r>
          </w:p>
        </w:tc>
      </w:tr>
      <w:tr w:rsidR="002A5ADE" w14:paraId="710A9D73" w14:textId="77777777" w:rsidTr="009B681F">
        <w:trPr>
          <w:gridAfter w:val="1"/>
          <w:wAfter w:w="180" w:type="dxa"/>
          <w:trHeight w:val="373"/>
        </w:trPr>
        <w:tc>
          <w:tcPr>
            <w:tcW w:w="2044" w:type="dxa"/>
          </w:tcPr>
          <w:p w14:paraId="4A0909B6" w14:textId="77777777" w:rsidR="002A5ADE" w:rsidRPr="00883F82" w:rsidRDefault="002A5ADE" w:rsidP="009B681F">
            <w:pPr>
              <w:pStyle w:val="TableParagraph"/>
              <w:spacing w:before="120" w:after="120"/>
              <w:ind w:left="147"/>
              <w:rPr>
                <w:b/>
                <w:sz w:val="24"/>
              </w:rPr>
            </w:pPr>
            <w:r w:rsidRPr="00883F82">
              <w:rPr>
                <w:b/>
                <w:sz w:val="24"/>
              </w:rPr>
              <w:t>Additional Energy Storage Products:</w:t>
            </w:r>
          </w:p>
        </w:tc>
        <w:tc>
          <w:tcPr>
            <w:tcW w:w="7018" w:type="dxa"/>
          </w:tcPr>
          <w:p w14:paraId="57C66481" w14:textId="77777777" w:rsidR="002A5ADE" w:rsidRPr="00883F82" w:rsidRDefault="002A5ADE" w:rsidP="009B681F">
            <w:pPr>
              <w:pStyle w:val="TableParagraph"/>
              <w:spacing w:before="120" w:after="120"/>
              <w:ind w:left="157" w:right="183"/>
              <w:jc w:val="both"/>
              <w:rPr>
                <w:sz w:val="24"/>
              </w:rPr>
            </w:pPr>
            <w:r w:rsidRPr="00883F82">
              <w:rPr>
                <w:sz w:val="24"/>
              </w:rPr>
              <w:t>All ancillary services and environmental attributes produced by the Storage Facility.</w:t>
            </w:r>
          </w:p>
        </w:tc>
      </w:tr>
      <w:tr w:rsidR="002A5ADE" w14:paraId="05492161" w14:textId="77777777" w:rsidTr="009B681F">
        <w:trPr>
          <w:gridAfter w:val="1"/>
          <w:wAfter w:w="180" w:type="dxa"/>
          <w:trHeight w:val="625"/>
        </w:trPr>
        <w:tc>
          <w:tcPr>
            <w:tcW w:w="2044" w:type="dxa"/>
          </w:tcPr>
          <w:p w14:paraId="3F4736E5" w14:textId="77777777" w:rsidR="002A5ADE" w:rsidRPr="00883F82" w:rsidRDefault="002A5ADE" w:rsidP="009B681F">
            <w:pPr>
              <w:pStyle w:val="TableParagraph"/>
              <w:spacing w:before="120" w:after="120"/>
              <w:ind w:left="147" w:right="909"/>
              <w:rPr>
                <w:b/>
                <w:sz w:val="24"/>
              </w:rPr>
            </w:pPr>
            <w:r w:rsidRPr="00883F82">
              <w:rPr>
                <w:b/>
                <w:sz w:val="24"/>
              </w:rPr>
              <w:t>Ancillary Services Capability:</w:t>
            </w:r>
          </w:p>
        </w:tc>
        <w:tc>
          <w:tcPr>
            <w:tcW w:w="7018" w:type="dxa"/>
          </w:tcPr>
          <w:p w14:paraId="2A11BB3F" w14:textId="77777777" w:rsidR="002A5ADE" w:rsidRPr="00883F82" w:rsidRDefault="002A5ADE" w:rsidP="009B681F">
            <w:pPr>
              <w:pStyle w:val="TableParagraph"/>
              <w:spacing w:before="120" w:after="120"/>
              <w:ind w:left="157" w:right="183"/>
              <w:jc w:val="both"/>
              <w:rPr>
                <w:sz w:val="24"/>
              </w:rPr>
            </w:pPr>
            <w:r w:rsidRPr="00883F82">
              <w:rPr>
                <w:sz w:val="24"/>
              </w:rPr>
              <w:t>[</w:t>
            </w:r>
            <w:r w:rsidRPr="00883F82">
              <w:rPr>
                <w:sz w:val="24"/>
                <w:highlight w:val="lightGray"/>
              </w:rPr>
              <w:t>List</w:t>
            </w:r>
            <w:r w:rsidRPr="00883F82">
              <w:rPr>
                <w:spacing w:val="-15"/>
                <w:sz w:val="24"/>
                <w:highlight w:val="lightGray"/>
              </w:rPr>
              <w:t xml:space="preserve"> </w:t>
            </w:r>
            <w:r w:rsidRPr="00883F82">
              <w:rPr>
                <w:sz w:val="24"/>
                <w:highlight w:val="lightGray"/>
              </w:rPr>
              <w:t>frequency</w:t>
            </w:r>
            <w:r w:rsidRPr="00883F82">
              <w:rPr>
                <w:spacing w:val="-16"/>
                <w:sz w:val="24"/>
                <w:highlight w:val="lightGray"/>
              </w:rPr>
              <w:t xml:space="preserve"> </w:t>
            </w:r>
            <w:r w:rsidRPr="00883F82">
              <w:rPr>
                <w:sz w:val="24"/>
                <w:highlight w:val="lightGray"/>
              </w:rPr>
              <w:t>regulation,</w:t>
            </w:r>
            <w:r w:rsidRPr="00883F82">
              <w:rPr>
                <w:spacing w:val="-16"/>
                <w:sz w:val="24"/>
                <w:highlight w:val="lightGray"/>
              </w:rPr>
              <w:t xml:space="preserve"> </w:t>
            </w:r>
            <w:r w:rsidRPr="00883F82">
              <w:rPr>
                <w:sz w:val="24"/>
                <w:highlight w:val="lightGray"/>
              </w:rPr>
              <w:t>spin,</w:t>
            </w:r>
            <w:r w:rsidRPr="00883F82">
              <w:rPr>
                <w:spacing w:val="-15"/>
                <w:sz w:val="24"/>
                <w:highlight w:val="lightGray"/>
              </w:rPr>
              <w:t xml:space="preserve"> </w:t>
            </w:r>
            <w:r w:rsidRPr="00883F82">
              <w:rPr>
                <w:sz w:val="24"/>
                <w:highlight w:val="lightGray"/>
              </w:rPr>
              <w:t>regulation</w:t>
            </w:r>
            <w:r w:rsidRPr="00883F82">
              <w:rPr>
                <w:spacing w:val="-16"/>
                <w:sz w:val="24"/>
                <w:highlight w:val="lightGray"/>
              </w:rPr>
              <w:t xml:space="preserve"> </w:t>
            </w:r>
            <w:r w:rsidRPr="00883F82">
              <w:rPr>
                <w:sz w:val="24"/>
                <w:highlight w:val="lightGray"/>
              </w:rPr>
              <w:t>up,</w:t>
            </w:r>
            <w:r w:rsidRPr="00883F82">
              <w:rPr>
                <w:spacing w:val="-16"/>
                <w:sz w:val="24"/>
                <w:highlight w:val="lightGray"/>
              </w:rPr>
              <w:t xml:space="preserve"> </w:t>
            </w:r>
            <w:r w:rsidRPr="00883F82">
              <w:rPr>
                <w:sz w:val="24"/>
                <w:highlight w:val="lightGray"/>
              </w:rPr>
              <w:t>regulation</w:t>
            </w:r>
            <w:r w:rsidRPr="00883F82">
              <w:rPr>
                <w:spacing w:val="-13"/>
                <w:sz w:val="24"/>
                <w:highlight w:val="lightGray"/>
              </w:rPr>
              <w:t xml:space="preserve"> </w:t>
            </w:r>
            <w:r w:rsidRPr="00883F82">
              <w:rPr>
                <w:sz w:val="24"/>
                <w:highlight w:val="lightGray"/>
              </w:rPr>
              <w:t>down,</w:t>
            </w:r>
            <w:r w:rsidRPr="00883F82">
              <w:rPr>
                <w:spacing w:val="-16"/>
                <w:sz w:val="24"/>
                <w:highlight w:val="lightGray"/>
              </w:rPr>
              <w:t xml:space="preserve"> </w:t>
            </w:r>
            <w:r w:rsidRPr="00883F82">
              <w:rPr>
                <w:sz w:val="24"/>
                <w:highlight w:val="lightGray"/>
              </w:rPr>
              <w:t>etc., and specify relevant operating parameters for</w:t>
            </w:r>
            <w:r w:rsidRPr="00883F82">
              <w:rPr>
                <w:spacing w:val="-8"/>
                <w:sz w:val="24"/>
                <w:highlight w:val="lightGray"/>
              </w:rPr>
              <w:t xml:space="preserve"> </w:t>
            </w:r>
            <w:r w:rsidRPr="00883F82">
              <w:rPr>
                <w:sz w:val="24"/>
                <w:highlight w:val="lightGray"/>
              </w:rPr>
              <w:t>each.</w:t>
            </w:r>
            <w:r w:rsidRPr="00883F82">
              <w:rPr>
                <w:sz w:val="24"/>
              </w:rPr>
              <w:t>]</w:t>
            </w:r>
          </w:p>
        </w:tc>
      </w:tr>
      <w:tr w:rsidR="002A5ADE" w14:paraId="232AD937" w14:textId="77777777" w:rsidTr="009B681F">
        <w:trPr>
          <w:gridAfter w:val="1"/>
          <w:wAfter w:w="180" w:type="dxa"/>
          <w:trHeight w:val="626"/>
        </w:trPr>
        <w:tc>
          <w:tcPr>
            <w:tcW w:w="2044" w:type="dxa"/>
          </w:tcPr>
          <w:p w14:paraId="61923045" w14:textId="77777777" w:rsidR="002A5ADE" w:rsidRPr="00883F82" w:rsidRDefault="002A5ADE" w:rsidP="009B681F">
            <w:pPr>
              <w:pStyle w:val="TableParagraph"/>
              <w:spacing w:before="120" w:after="120"/>
              <w:ind w:left="147"/>
              <w:rPr>
                <w:b/>
                <w:sz w:val="24"/>
              </w:rPr>
            </w:pPr>
            <w:r w:rsidRPr="00883F82">
              <w:rPr>
                <w:b/>
                <w:sz w:val="24"/>
              </w:rPr>
              <w:t>Scheduling Coordinator:</w:t>
            </w:r>
          </w:p>
        </w:tc>
        <w:tc>
          <w:tcPr>
            <w:tcW w:w="7018" w:type="dxa"/>
          </w:tcPr>
          <w:p w14:paraId="4052C373" w14:textId="77777777" w:rsidR="002A5ADE" w:rsidRPr="00883F82" w:rsidRDefault="002A5ADE" w:rsidP="009B681F">
            <w:pPr>
              <w:pStyle w:val="TableParagraph"/>
              <w:spacing w:before="120" w:after="120"/>
              <w:ind w:left="157" w:right="183"/>
              <w:jc w:val="both"/>
              <w:rPr>
                <w:sz w:val="24"/>
              </w:rPr>
            </w:pPr>
            <w:r w:rsidRPr="00883F82">
              <w:rPr>
                <w:sz w:val="24"/>
              </w:rPr>
              <w:t>[</w:t>
            </w:r>
            <w:r w:rsidRPr="00F75C35">
              <w:rPr>
                <w:sz w:val="24"/>
                <w:szCs w:val="24"/>
                <w:highlight w:val="lightGray"/>
              </w:rPr>
              <w:t>Seller/Buyer</w:t>
            </w:r>
            <w:r w:rsidRPr="00883F82">
              <w:rPr>
                <w:sz w:val="24"/>
              </w:rPr>
              <w:t>]</w:t>
            </w:r>
          </w:p>
          <w:p w14:paraId="4220DA56" w14:textId="77777777" w:rsidR="002A5ADE" w:rsidRPr="00883F82" w:rsidRDefault="002A5ADE" w:rsidP="009B681F">
            <w:pPr>
              <w:pStyle w:val="TableParagraph"/>
              <w:spacing w:before="120" w:after="120"/>
              <w:ind w:left="157" w:right="183"/>
              <w:jc w:val="both"/>
              <w:rPr>
                <w:sz w:val="24"/>
              </w:rPr>
            </w:pPr>
            <w:r w:rsidRPr="00883F82">
              <w:rPr>
                <w:sz w:val="24"/>
                <w:u w:val="single"/>
              </w:rPr>
              <w:t>For RA Product</w:t>
            </w:r>
            <w:r w:rsidRPr="00883F82">
              <w:rPr>
                <w:sz w:val="24"/>
              </w:rPr>
              <w:t>: Seller or Seller’s agent shall act as Scheduling Coordinator (as defined by the CAISO) for the Storage Facility. Seller shall be financially responsible for such services and shall pay for all CAISO charges and retain all CAISO payments.</w:t>
            </w:r>
          </w:p>
          <w:p w14:paraId="0164DAA1"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 Storage Product</w:t>
            </w:r>
            <w:r>
              <w:rPr>
                <w:rFonts w:ascii="Times New Roman" w:eastAsia="Times New Roman" w:hAnsi="Times New Roman" w:cs="Times New Roman"/>
                <w:sz w:val="24"/>
                <w:szCs w:val="24"/>
              </w:rPr>
              <w:t>: Buyer or Buyer’s agent shall act as Scheduling Coordinator (as defined by the CAISO) for the Storage Facility. Buyer shall be financially responsible for such services and shall pay for all CAISO charges (including for charging energy) and retain all CAISO payments (including for discharging energy); provided however, that notwithstanding the foregoing, Seller shall assume all liability and reimburse Buyer for any and all costs or charges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incurred by Buyer because of Seller’s failure to perform, (ii) incurred by Buyer because of any outages for which notice has not been provided as required, (iii) associated with Resource Adequacy Capacity (as defined by the CAISO) from the Storage Facility (including Non-Availability Charges (as defined by the CAISO)), if applicable or (iv) to the extent arising as a result of Seller’s failure to comply with a timely Buyer Curtailment Order if such failure results in incremental costs to Buyer. </w:t>
            </w:r>
          </w:p>
          <w:p w14:paraId="15240D9C" w14:textId="77777777" w:rsidR="002A5ADE" w:rsidRPr="00883F82" w:rsidRDefault="002A5ADE" w:rsidP="009B681F">
            <w:pPr>
              <w:pStyle w:val="TableParagraph"/>
              <w:spacing w:before="120" w:after="120"/>
              <w:ind w:left="157" w:right="183"/>
              <w:jc w:val="both"/>
              <w:rPr>
                <w:sz w:val="24"/>
              </w:rPr>
            </w:pPr>
            <w:r>
              <w:rPr>
                <w:sz w:val="24"/>
                <w:szCs w:val="24"/>
              </w:rPr>
              <w:t xml:space="preserve">Outage and curtailment notifications will be required by Buyer as well </w:t>
            </w:r>
            <w:r>
              <w:rPr>
                <w:sz w:val="24"/>
                <w:szCs w:val="24"/>
              </w:rPr>
              <w:lastRenderedPageBreak/>
              <w:t xml:space="preserve">as access to Storage Facility charging and discharging data. </w:t>
            </w:r>
          </w:p>
        </w:tc>
      </w:tr>
      <w:tr w:rsidR="002A5ADE" w14:paraId="06D1DC2C" w14:textId="77777777" w:rsidTr="009B681F">
        <w:trPr>
          <w:gridAfter w:val="1"/>
          <w:wAfter w:w="180" w:type="dxa"/>
          <w:trHeight w:val="371"/>
        </w:trPr>
        <w:tc>
          <w:tcPr>
            <w:tcW w:w="2044" w:type="dxa"/>
          </w:tcPr>
          <w:p w14:paraId="3DDBD328" w14:textId="77777777" w:rsidR="002A5ADE" w:rsidRPr="00883F82" w:rsidRDefault="002A5ADE" w:rsidP="009B681F">
            <w:pPr>
              <w:pStyle w:val="TableParagraph"/>
              <w:spacing w:before="120" w:after="120"/>
              <w:ind w:left="147"/>
              <w:rPr>
                <w:b/>
                <w:sz w:val="24"/>
              </w:rPr>
            </w:pPr>
            <w:r w:rsidRPr="00883F82">
              <w:rPr>
                <w:b/>
                <w:sz w:val="24"/>
              </w:rPr>
              <w:lastRenderedPageBreak/>
              <w:t>Station Use:</w:t>
            </w:r>
          </w:p>
        </w:tc>
        <w:tc>
          <w:tcPr>
            <w:tcW w:w="7018" w:type="dxa"/>
          </w:tcPr>
          <w:p w14:paraId="35408242"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sidRPr="00883F82">
              <w:rPr>
                <w:sz w:val="24"/>
              </w:rPr>
              <w:t xml:space="preserve">Buyer will not be responsible for Station Use and Station Use will not be provided by the Storage Facility. Expected </w:t>
            </w:r>
            <w:r w:rsidRPr="00F75C35">
              <w:rPr>
                <w:sz w:val="24"/>
                <w:szCs w:val="24"/>
              </w:rPr>
              <w:t>Station Use: [XX</w:t>
            </w:r>
            <w:r w:rsidRPr="00883F82">
              <w:rPr>
                <w:sz w:val="24"/>
              </w:rPr>
              <w:t>] MWh per year.</w:t>
            </w:r>
          </w:p>
        </w:tc>
      </w:tr>
      <w:tr w:rsidR="002A5ADE" w14:paraId="4E25BFDC" w14:textId="77777777" w:rsidTr="009B681F">
        <w:trPr>
          <w:gridAfter w:val="1"/>
          <w:wAfter w:w="180" w:type="dxa"/>
          <w:trHeight w:val="880"/>
        </w:trPr>
        <w:tc>
          <w:tcPr>
            <w:tcW w:w="2044" w:type="dxa"/>
          </w:tcPr>
          <w:p w14:paraId="3BF82E52" w14:textId="77777777" w:rsidR="002A5ADE" w:rsidRPr="00883F82" w:rsidRDefault="002A5ADE" w:rsidP="009B681F">
            <w:pPr>
              <w:pStyle w:val="TableParagraph"/>
              <w:spacing w:before="120" w:after="120"/>
              <w:ind w:left="147"/>
              <w:rPr>
                <w:b/>
                <w:sz w:val="24"/>
              </w:rPr>
            </w:pPr>
            <w:r w:rsidRPr="00883F82">
              <w:rPr>
                <w:b/>
                <w:sz w:val="24"/>
              </w:rPr>
              <w:t>Guaranteed Storage Availability:</w:t>
            </w:r>
          </w:p>
        </w:tc>
        <w:tc>
          <w:tcPr>
            <w:tcW w:w="7018" w:type="dxa"/>
          </w:tcPr>
          <w:p w14:paraId="3B15CB51" w14:textId="77777777" w:rsidR="002A5ADE" w:rsidRPr="00883F82" w:rsidRDefault="002A5ADE" w:rsidP="009B681F">
            <w:pPr>
              <w:pStyle w:val="TableParagraph"/>
              <w:spacing w:before="120" w:after="120"/>
              <w:ind w:left="157" w:right="183"/>
              <w:jc w:val="both"/>
              <w:rPr>
                <w:sz w:val="24"/>
              </w:rPr>
            </w:pPr>
            <w:r w:rsidRPr="00883F82">
              <w:rPr>
                <w:sz w:val="24"/>
              </w:rPr>
              <w:t>[</w:t>
            </w:r>
            <w:r w:rsidRPr="00883F82">
              <w:rPr>
                <w:sz w:val="24"/>
                <w:highlight w:val="lightGray"/>
              </w:rPr>
              <w:t>98%</w:t>
            </w:r>
            <w:r w:rsidRPr="00883F82">
              <w:rPr>
                <w:sz w:val="24"/>
              </w:rPr>
              <w:t xml:space="preserve">] [percentage of hours each month that </w:t>
            </w:r>
            <w:r w:rsidRPr="00F75C35">
              <w:rPr>
                <w:sz w:val="24"/>
                <w:szCs w:val="24"/>
              </w:rPr>
              <w:t>Seller</w:t>
            </w:r>
            <w:r w:rsidRPr="00883F82">
              <w:rPr>
                <w:sz w:val="24"/>
              </w:rPr>
              <w:t xml:space="preserve"> agrees the Storage Facility will be available] </w:t>
            </w:r>
          </w:p>
        </w:tc>
      </w:tr>
      <w:tr w:rsidR="002A5ADE" w14:paraId="6575F8B3" w14:textId="77777777" w:rsidTr="009B681F">
        <w:trPr>
          <w:gridAfter w:val="1"/>
          <w:wAfter w:w="180" w:type="dxa"/>
          <w:trHeight w:val="575"/>
        </w:trPr>
        <w:tc>
          <w:tcPr>
            <w:tcW w:w="2044" w:type="dxa"/>
          </w:tcPr>
          <w:p w14:paraId="193E482C" w14:textId="77777777" w:rsidR="002A5ADE" w:rsidRPr="00883F82" w:rsidRDefault="002A5ADE" w:rsidP="009B681F">
            <w:pPr>
              <w:pStyle w:val="TableParagraph"/>
              <w:spacing w:before="120" w:after="120"/>
              <w:ind w:left="147"/>
              <w:rPr>
                <w:b/>
                <w:sz w:val="24"/>
              </w:rPr>
            </w:pPr>
            <w:r w:rsidRPr="00883F82">
              <w:rPr>
                <w:b/>
                <w:sz w:val="24"/>
              </w:rPr>
              <w:t>Availability Adjustment:</w:t>
            </w:r>
          </w:p>
        </w:tc>
        <w:tc>
          <w:tcPr>
            <w:tcW w:w="7018" w:type="dxa"/>
          </w:tcPr>
          <w:p w14:paraId="05636D05" w14:textId="77777777" w:rsidR="002A5ADE" w:rsidRPr="00883F82" w:rsidRDefault="002A5ADE" w:rsidP="009B681F">
            <w:pPr>
              <w:pStyle w:val="TableParagraph"/>
              <w:spacing w:before="120" w:after="120"/>
              <w:ind w:left="157" w:right="183"/>
              <w:jc w:val="both"/>
              <w:rPr>
                <w:sz w:val="24"/>
              </w:rPr>
            </w:pPr>
            <w:r w:rsidRPr="00883F82">
              <w:rPr>
                <w:sz w:val="24"/>
              </w:rPr>
              <w:t>The Availability Adjustment (“</w:t>
            </w:r>
            <w:r w:rsidRPr="00883F82">
              <w:rPr>
                <w:b/>
                <w:sz w:val="24"/>
                <w:u w:val="single"/>
              </w:rPr>
              <w:t>AA</w:t>
            </w:r>
            <w:r w:rsidRPr="00883F82">
              <w:rPr>
                <w:sz w:val="24"/>
              </w:rPr>
              <w:t>”), which is calculated as follows:</w:t>
            </w:r>
          </w:p>
          <w:p w14:paraId="525A12A9" w14:textId="77777777" w:rsidR="002A5ADE" w:rsidRPr="00883F82" w:rsidRDefault="002A5ADE" w:rsidP="002A5ADE">
            <w:pPr>
              <w:pStyle w:val="TableParagraph"/>
              <w:numPr>
                <w:ilvl w:val="0"/>
                <w:numId w:val="3"/>
              </w:numPr>
              <w:tabs>
                <w:tab w:val="left" w:pos="1188"/>
              </w:tabs>
              <w:spacing w:before="120" w:after="120"/>
              <w:ind w:left="157" w:right="183"/>
              <w:jc w:val="both"/>
              <w:rPr>
                <w:sz w:val="24"/>
              </w:rPr>
            </w:pPr>
            <w:r w:rsidRPr="00883F82">
              <w:rPr>
                <w:sz w:val="24"/>
              </w:rPr>
              <w:t>If the monthly storage availability is greater than or equal to the Guaranteed Storage Availability,</w:t>
            </w:r>
            <w:r w:rsidRPr="00883F82">
              <w:rPr>
                <w:spacing w:val="-9"/>
                <w:sz w:val="24"/>
              </w:rPr>
              <w:t xml:space="preserve"> </w:t>
            </w:r>
            <w:r w:rsidRPr="00883F82">
              <w:rPr>
                <w:sz w:val="24"/>
              </w:rPr>
              <w:t>then:</w:t>
            </w:r>
          </w:p>
          <w:p w14:paraId="648ABFEC" w14:textId="77777777" w:rsidR="002A5ADE" w:rsidRPr="00883F82" w:rsidRDefault="002A5ADE" w:rsidP="009B681F">
            <w:pPr>
              <w:pStyle w:val="TableParagraph"/>
              <w:spacing w:before="120" w:after="120"/>
              <w:ind w:left="157" w:right="183"/>
              <w:jc w:val="both"/>
              <w:rPr>
                <w:sz w:val="24"/>
              </w:rPr>
            </w:pPr>
            <w:r w:rsidRPr="00883F82">
              <w:rPr>
                <w:sz w:val="24"/>
              </w:rPr>
              <w:t>AA = 100%</w:t>
            </w:r>
          </w:p>
          <w:p w14:paraId="39F1BB78" w14:textId="77777777" w:rsidR="002A5ADE" w:rsidRPr="00883F82" w:rsidRDefault="002A5ADE" w:rsidP="002A5ADE">
            <w:pPr>
              <w:pStyle w:val="TableParagraph"/>
              <w:numPr>
                <w:ilvl w:val="0"/>
                <w:numId w:val="3"/>
              </w:numPr>
              <w:tabs>
                <w:tab w:val="left" w:pos="1188"/>
              </w:tabs>
              <w:spacing w:before="120" w:after="120"/>
              <w:ind w:left="157" w:right="183"/>
              <w:jc w:val="both"/>
              <w:rPr>
                <w:sz w:val="24"/>
              </w:rPr>
            </w:pPr>
            <w:r w:rsidRPr="00883F82">
              <w:rPr>
                <w:sz w:val="24"/>
              </w:rPr>
              <w:t>If the monthly storage availability is less than the Guaranteed Storage Availability, but greater than or equal to 70%,</w:t>
            </w:r>
            <w:r w:rsidRPr="00883F82">
              <w:rPr>
                <w:spacing w:val="-5"/>
                <w:sz w:val="24"/>
              </w:rPr>
              <w:t xml:space="preserve"> </w:t>
            </w:r>
            <w:r w:rsidRPr="00883F82">
              <w:rPr>
                <w:sz w:val="24"/>
              </w:rPr>
              <w:t>then:</w:t>
            </w:r>
          </w:p>
          <w:p w14:paraId="09B1B24E" w14:textId="77777777" w:rsidR="002A5ADE" w:rsidRPr="00883F82" w:rsidRDefault="002A5ADE" w:rsidP="009B681F">
            <w:pPr>
              <w:pStyle w:val="TableParagraph"/>
              <w:spacing w:before="120" w:after="120"/>
              <w:ind w:left="157" w:right="183"/>
              <w:jc w:val="both"/>
              <w:rPr>
                <w:sz w:val="24"/>
              </w:rPr>
            </w:pPr>
            <w:r w:rsidRPr="00883F82">
              <w:rPr>
                <w:sz w:val="24"/>
              </w:rPr>
              <w:t>AA = 100% - [(98% - monthly storage availability) × 2]</w:t>
            </w:r>
          </w:p>
          <w:p w14:paraId="0112074C" w14:textId="77777777" w:rsidR="002A5ADE" w:rsidRPr="00883F82" w:rsidRDefault="002A5ADE" w:rsidP="002A5ADE">
            <w:pPr>
              <w:pStyle w:val="TableParagraph"/>
              <w:numPr>
                <w:ilvl w:val="0"/>
                <w:numId w:val="3"/>
              </w:numPr>
              <w:tabs>
                <w:tab w:val="left" w:pos="1188"/>
              </w:tabs>
              <w:spacing w:before="120" w:after="120"/>
              <w:ind w:left="157" w:right="183"/>
              <w:jc w:val="both"/>
              <w:rPr>
                <w:sz w:val="24"/>
              </w:rPr>
            </w:pPr>
            <w:r w:rsidRPr="00883F82">
              <w:rPr>
                <w:sz w:val="24"/>
              </w:rPr>
              <w:t>If the monthly storage availability is less than 70%, then:</w:t>
            </w:r>
          </w:p>
          <w:p w14:paraId="2BAEA17D" w14:textId="77777777" w:rsidR="002A5ADE" w:rsidRPr="00883F82" w:rsidRDefault="002A5ADE" w:rsidP="009B681F">
            <w:pPr>
              <w:pStyle w:val="TableParagraph"/>
              <w:spacing w:before="120" w:after="120"/>
              <w:ind w:left="157" w:right="183"/>
              <w:jc w:val="both"/>
              <w:rPr>
                <w:sz w:val="24"/>
              </w:rPr>
            </w:pPr>
            <w:r w:rsidRPr="00883F82">
              <w:rPr>
                <w:sz w:val="24"/>
              </w:rPr>
              <w:t>AA = 0</w:t>
            </w:r>
          </w:p>
        </w:tc>
      </w:tr>
      <w:tr w:rsidR="002A5ADE" w14:paraId="5510AFDC" w14:textId="77777777" w:rsidTr="009B681F">
        <w:trPr>
          <w:gridAfter w:val="1"/>
          <w:wAfter w:w="180" w:type="dxa"/>
          <w:trHeight w:val="3083"/>
        </w:trPr>
        <w:tc>
          <w:tcPr>
            <w:tcW w:w="2044" w:type="dxa"/>
          </w:tcPr>
          <w:p w14:paraId="79D2CA85" w14:textId="77777777" w:rsidR="002A5ADE" w:rsidRPr="00883F82" w:rsidRDefault="002A5ADE" w:rsidP="009B681F">
            <w:pPr>
              <w:pStyle w:val="TableParagraph"/>
              <w:spacing w:before="120" w:after="120"/>
              <w:ind w:left="147"/>
              <w:rPr>
                <w:b/>
                <w:sz w:val="24"/>
              </w:rPr>
            </w:pPr>
            <w:r w:rsidRPr="00883F82">
              <w:rPr>
                <w:b/>
                <w:sz w:val="24"/>
              </w:rPr>
              <w:t>Local Workforce:</w:t>
            </w:r>
          </w:p>
        </w:tc>
        <w:tc>
          <w:tcPr>
            <w:tcW w:w="7018" w:type="dxa"/>
          </w:tcPr>
          <w:p w14:paraId="26B05098" w14:textId="77777777" w:rsidR="002A5ADE" w:rsidRPr="00883F82" w:rsidRDefault="002A5ADE" w:rsidP="009B681F">
            <w:pPr>
              <w:pStyle w:val="TableParagraph"/>
              <w:spacing w:before="120" w:after="120"/>
              <w:ind w:left="157" w:right="183"/>
              <w:jc w:val="both"/>
              <w:rPr>
                <w:sz w:val="24"/>
              </w:rPr>
            </w:pPr>
            <w:r w:rsidRPr="00883F82">
              <w:rPr>
                <w:sz w:val="24"/>
              </w:rPr>
              <w:t>[</w:t>
            </w:r>
            <w:r w:rsidRPr="00883F82">
              <w:rPr>
                <w:sz w:val="24"/>
                <w:highlight w:val="lightGray"/>
              </w:rPr>
              <w:t xml:space="preserve">include % of workforce from </w:t>
            </w:r>
            <w:r w:rsidRPr="00F75C35">
              <w:rPr>
                <w:sz w:val="24"/>
                <w:szCs w:val="24"/>
                <w:highlight w:val="lightGray"/>
              </w:rPr>
              <w:t>Buyer’s</w:t>
            </w:r>
            <w:r w:rsidRPr="00883F82">
              <w:rPr>
                <w:sz w:val="24"/>
                <w:highlight w:val="lightGray"/>
              </w:rPr>
              <w:t xml:space="preserve"> service territory </w:t>
            </w:r>
            <w:r w:rsidRPr="00F75C35">
              <w:rPr>
                <w:sz w:val="24"/>
                <w:szCs w:val="24"/>
                <w:highlight w:val="lightGray"/>
              </w:rPr>
              <w:t>Seller</w:t>
            </w:r>
            <w:r w:rsidRPr="00883F82">
              <w:rPr>
                <w:sz w:val="24"/>
                <w:highlight w:val="lightGray"/>
              </w:rPr>
              <w:t xml:space="preserve"> will utilize</w:t>
            </w:r>
            <w:r w:rsidRPr="00883F82">
              <w:rPr>
                <w:sz w:val="24"/>
              </w:rPr>
              <w:t>]</w:t>
            </w:r>
          </w:p>
        </w:tc>
      </w:tr>
      <w:tr w:rsidR="002A5ADE" w14:paraId="71874EFC" w14:textId="77777777" w:rsidTr="009B681F">
        <w:trPr>
          <w:gridAfter w:val="1"/>
          <w:wAfter w:w="180" w:type="dxa"/>
          <w:trHeight w:val="626"/>
        </w:trPr>
        <w:tc>
          <w:tcPr>
            <w:tcW w:w="2044" w:type="dxa"/>
          </w:tcPr>
          <w:p w14:paraId="7C376030" w14:textId="77777777" w:rsidR="002A5ADE" w:rsidRPr="00883F82" w:rsidRDefault="002A5ADE" w:rsidP="009B681F">
            <w:pPr>
              <w:pStyle w:val="TableParagraph"/>
              <w:spacing w:before="120" w:after="120"/>
              <w:ind w:left="147"/>
              <w:rPr>
                <w:b/>
                <w:sz w:val="24"/>
              </w:rPr>
            </w:pPr>
            <w:r w:rsidRPr="00883F82">
              <w:rPr>
                <w:b/>
                <w:sz w:val="24"/>
              </w:rPr>
              <w:t>Monthly Settlement and Invoice:</w:t>
            </w:r>
          </w:p>
        </w:tc>
        <w:tc>
          <w:tcPr>
            <w:tcW w:w="7018" w:type="dxa"/>
          </w:tcPr>
          <w:p w14:paraId="73720666" w14:textId="77777777" w:rsidR="002A5ADE" w:rsidRDefault="002A5ADE" w:rsidP="009B681F">
            <w:pPr>
              <w:spacing w:before="120" w:after="120"/>
              <w:ind w:left="157" w:right="183"/>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Within ten (10) days after the end of each month of the Delivery Term, Seller shall send a detailed invoice to Buyer for the amount due for Product delivered during such month. The invoice shall include all information necessary to confirm the amount due.</w:t>
            </w:r>
          </w:p>
          <w:p w14:paraId="786C65B8" w14:textId="77777777" w:rsidR="002A5ADE" w:rsidRPr="00883F82" w:rsidRDefault="002A5ADE" w:rsidP="009B681F">
            <w:pPr>
              <w:pStyle w:val="TableParagraph"/>
              <w:spacing w:before="120" w:after="120"/>
              <w:ind w:left="157" w:right="183"/>
              <w:jc w:val="both"/>
              <w:rPr>
                <w:sz w:val="24"/>
              </w:rPr>
            </w:pPr>
            <w:r>
              <w:rPr>
                <w:sz w:val="24"/>
                <w:szCs w:val="24"/>
              </w:rPr>
              <w:t>Payment for undisputed amounts shall be due to the applicable party thirty (30) days from the invoice date, with disputed payments subject to Buyer’s billing dispute process.</w:t>
            </w:r>
          </w:p>
        </w:tc>
      </w:tr>
      <w:tr w:rsidR="002A5ADE" w14:paraId="30ADF747" w14:textId="77777777" w:rsidTr="009B681F">
        <w:trPr>
          <w:gridAfter w:val="1"/>
          <w:wAfter w:w="180" w:type="dxa"/>
          <w:trHeight w:val="371"/>
        </w:trPr>
        <w:tc>
          <w:tcPr>
            <w:tcW w:w="2044" w:type="dxa"/>
          </w:tcPr>
          <w:p w14:paraId="6EEDFF39" w14:textId="77777777" w:rsidR="002A5ADE" w:rsidRPr="00883F82" w:rsidRDefault="002A5ADE" w:rsidP="009B681F">
            <w:pPr>
              <w:pStyle w:val="TableParagraph"/>
              <w:spacing w:before="120" w:after="120"/>
              <w:ind w:left="147" w:right="88"/>
              <w:rPr>
                <w:b/>
                <w:sz w:val="24"/>
              </w:rPr>
            </w:pPr>
            <w:r w:rsidRPr="00883F82">
              <w:rPr>
                <w:b/>
                <w:sz w:val="24"/>
              </w:rPr>
              <w:t>Operations and Maintenance:</w:t>
            </w:r>
          </w:p>
        </w:tc>
        <w:tc>
          <w:tcPr>
            <w:tcW w:w="7018" w:type="dxa"/>
          </w:tcPr>
          <w:p w14:paraId="3B651A47" w14:textId="77777777" w:rsidR="002A5ADE" w:rsidRDefault="002A5ADE" w:rsidP="009B681F">
            <w:pPr>
              <w:spacing w:before="120" w:after="120"/>
              <w:ind w:left="157" w:right="183"/>
              <w:jc w:val="both"/>
              <w:outlineLvl w:val="3"/>
              <w:rPr>
                <w:rFonts w:ascii="Times New Roman" w:eastAsia="Times New Roman" w:hAnsi="Times New Roman" w:cs="Times New Roman"/>
                <w:sz w:val="24"/>
                <w:szCs w:val="24"/>
              </w:rPr>
            </w:pPr>
            <w:r w:rsidRPr="00F75C35">
              <w:rPr>
                <w:sz w:val="24"/>
                <w:szCs w:val="24"/>
              </w:rPr>
              <w:t>During</w:t>
            </w:r>
            <w:r w:rsidRPr="00883F82">
              <w:rPr>
                <w:sz w:val="24"/>
              </w:rPr>
              <w:t xml:space="preserve"> the months of June through September </w:t>
            </w:r>
            <w:r w:rsidRPr="00F75C35">
              <w:rPr>
                <w:sz w:val="24"/>
                <w:szCs w:val="24"/>
              </w:rPr>
              <w:t xml:space="preserve"> Seller shall not</w:t>
            </w:r>
            <w:r w:rsidRPr="00883F82">
              <w:rPr>
                <w:sz w:val="24"/>
              </w:rPr>
              <w:t xml:space="preserve"> schedule any non-emergency maintenance that reduces the </w:t>
            </w:r>
            <w:r w:rsidRPr="00883F82">
              <w:rPr>
                <w:sz w:val="24"/>
              </w:rPr>
              <w:lastRenderedPageBreak/>
              <w:t>energy storage capability of the Storage Facility by more than ten percent (10%), unless (</w:t>
            </w:r>
            <w:proofErr w:type="spellStart"/>
            <w:r w:rsidRPr="00883F82">
              <w:rPr>
                <w:sz w:val="24"/>
              </w:rPr>
              <w:t>i</w:t>
            </w:r>
            <w:proofErr w:type="spellEnd"/>
            <w:r w:rsidRPr="00883F82">
              <w:rPr>
                <w:sz w:val="24"/>
              </w:rPr>
              <w:t>) such outage is required to avoid damage to the Storage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2A5ADE" w14:paraId="7314EF97" w14:textId="77777777" w:rsidTr="009B681F">
        <w:trPr>
          <w:gridAfter w:val="1"/>
          <w:wAfter w:w="180" w:type="dxa"/>
          <w:trHeight w:val="371"/>
        </w:trPr>
        <w:tc>
          <w:tcPr>
            <w:tcW w:w="2044" w:type="dxa"/>
          </w:tcPr>
          <w:p w14:paraId="1CF41E56" w14:textId="77777777" w:rsidR="002A5ADE" w:rsidRPr="00883F82" w:rsidRDefault="002A5ADE" w:rsidP="009B681F">
            <w:pPr>
              <w:pStyle w:val="TableParagraph"/>
              <w:spacing w:before="120" w:after="120"/>
              <w:ind w:left="147"/>
              <w:rPr>
                <w:b/>
                <w:sz w:val="24"/>
              </w:rPr>
            </w:pPr>
            <w:r w:rsidRPr="00883F82">
              <w:rPr>
                <w:b/>
                <w:sz w:val="24"/>
              </w:rPr>
              <w:lastRenderedPageBreak/>
              <w:t>Progress Reporting:</w:t>
            </w:r>
          </w:p>
        </w:tc>
        <w:tc>
          <w:tcPr>
            <w:tcW w:w="7018" w:type="dxa"/>
          </w:tcPr>
          <w:p w14:paraId="5C3C7DEA"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execution of the ESSA, Seller shall provide a quarterly report until the COD followed by a monthly report to Buyer that (a) describes the progress towards meeting the Storage Facility Development Milestones; (b) identifies any missed Storage Facility Development Milestones, </w:t>
            </w:r>
            <w:r w:rsidRPr="00883F82">
              <w:rPr>
                <w:rFonts w:ascii="Times New Roman" w:hAnsi="Times New Roman"/>
                <w:color w:val="000000"/>
                <w:w w:val="0"/>
                <w:sz w:val="24"/>
              </w:rPr>
              <w:t xml:space="preserve">including the cause of the delay; and (c) provides a </w:t>
            </w:r>
            <w:r>
              <w:rPr>
                <w:rFonts w:ascii="Times New Roman" w:eastAsia="Times New Roman" w:hAnsi="Times New Roman" w:cs="Times New Roman"/>
                <w:sz w:val="24"/>
                <w:szCs w:val="24"/>
              </w:rPr>
              <w:t>detailed description of Seller’s corrective actions to achieve the missed Storage Facility Development Milestones and all subsequent Storage Facility Development Milestones by the Guaranteed Commercial Operation Date.  If applicable, progress reporting shall also include reporting on small business</w:t>
            </w:r>
            <w:r w:rsidRPr="00F75C35">
              <w:rPr>
                <w:rFonts w:ascii="Times New Roman" w:hAnsi="Times New Roman" w:cs="Times New Roman"/>
                <w:sz w:val="24"/>
                <w:szCs w:val="24"/>
              </w:rPr>
              <w:t xml:space="preserve"> activities</w:t>
            </w:r>
            <w:r>
              <w:rPr>
                <w:rFonts w:ascii="Times New Roman" w:eastAsia="Times New Roman" w:hAnsi="Times New Roman" w:cs="Times New Roman"/>
                <w:sz w:val="24"/>
                <w:szCs w:val="24"/>
              </w:rPr>
              <w:t xml:space="preserve">. </w:t>
            </w:r>
          </w:p>
          <w:p w14:paraId="17B76E73" w14:textId="77777777" w:rsidR="002A5ADE" w:rsidRPr="00883F82" w:rsidRDefault="002A5ADE" w:rsidP="009B681F">
            <w:pPr>
              <w:pStyle w:val="TableParagraph"/>
              <w:spacing w:before="120" w:after="120"/>
              <w:ind w:left="157" w:right="183"/>
              <w:jc w:val="both"/>
              <w:rPr>
                <w:sz w:val="24"/>
              </w:rPr>
            </w:pPr>
            <w:r w:rsidRPr="00883F82">
              <w:rPr>
                <w:sz w:val="24"/>
              </w:rPr>
              <w:t>In the event Seller misses any Project Development Milestones and cannot reasonably demonstrate a plan for completing the Facility by the Guaranteed COD, Buyer shall have the right to terminate the ESSA and retain the Development Security as damages, in addition to any other remedies it may have at law or equity.</w:t>
            </w:r>
          </w:p>
        </w:tc>
      </w:tr>
      <w:tr w:rsidR="002A5ADE" w14:paraId="244AAA68" w14:textId="77777777" w:rsidTr="009B681F">
        <w:trPr>
          <w:gridAfter w:val="1"/>
          <w:wAfter w:w="180" w:type="dxa"/>
          <w:trHeight w:val="371"/>
        </w:trPr>
        <w:tc>
          <w:tcPr>
            <w:tcW w:w="2044" w:type="dxa"/>
          </w:tcPr>
          <w:p w14:paraId="05386E71" w14:textId="77777777" w:rsidR="002A5ADE" w:rsidRPr="00883F82" w:rsidRDefault="002A5ADE" w:rsidP="009B681F">
            <w:pPr>
              <w:pStyle w:val="TableParagraph"/>
              <w:spacing w:before="120" w:after="120"/>
              <w:ind w:left="147"/>
              <w:rPr>
                <w:b/>
                <w:sz w:val="24"/>
              </w:rPr>
            </w:pPr>
            <w:r w:rsidRPr="00883F82">
              <w:rPr>
                <w:b/>
                <w:sz w:val="24"/>
              </w:rPr>
              <w:t>Credit Requirements:</w:t>
            </w:r>
          </w:p>
        </w:tc>
        <w:tc>
          <w:tcPr>
            <w:tcW w:w="7018" w:type="dxa"/>
          </w:tcPr>
          <w:p w14:paraId="60F19ED2"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Seller shall post security as follows:</w:t>
            </w:r>
          </w:p>
          <w:p w14:paraId="3066B9DA" w14:textId="77777777" w:rsidR="002A5ADE" w:rsidRDefault="002A5ADE" w:rsidP="009B681F">
            <w:pPr>
              <w:spacing w:before="120" w:after="120"/>
              <w:ind w:left="157" w:right="183"/>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Development Security</w:t>
            </w:r>
            <w:r>
              <w:rPr>
                <w:rFonts w:ascii="Times New Roman" w:eastAsia="Times New Roman" w:hAnsi="Times New Roman" w:cs="Times New Roman"/>
                <w:sz w:val="24"/>
                <w:szCs w:val="24"/>
              </w:rPr>
              <w:t xml:space="preserve"> – $90/kW of Guaranteed Capacity</w:t>
            </w:r>
            <w:r>
              <w:rPr>
                <w:rFonts w:ascii="Times New Roman" w:eastAsia="Times New Roman" w:hAnsi="Times New Roman" w:cs="Times New Roman"/>
                <w:i/>
                <w:sz w:val="24"/>
                <w:szCs w:val="24"/>
              </w:rPr>
              <w:t xml:space="preserve"> </w:t>
            </w:r>
          </w:p>
          <w:p w14:paraId="6FF4B8AF"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Performance Security</w:t>
            </w:r>
            <w:r>
              <w:rPr>
                <w:rFonts w:ascii="Times New Roman" w:eastAsia="Times New Roman" w:hAnsi="Times New Roman" w:cs="Times New Roman"/>
                <w:sz w:val="24"/>
                <w:szCs w:val="24"/>
              </w:rPr>
              <w:t xml:space="preserve"> – $105/kW of Guaranteed Capacity</w:t>
            </w:r>
            <w:r>
              <w:rPr>
                <w:rFonts w:ascii="Times New Roman" w:eastAsia="Times New Roman" w:hAnsi="Times New Roman" w:cs="Times New Roman"/>
                <w:i/>
                <w:sz w:val="24"/>
                <w:szCs w:val="24"/>
              </w:rPr>
              <w:t xml:space="preserve"> </w:t>
            </w:r>
          </w:p>
          <w:p w14:paraId="1A5DFF46"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secure its obligations under </w:t>
            </w:r>
            <w:r w:rsidRPr="00F75C35">
              <w:rPr>
                <w:rFonts w:ascii="Times New Roman" w:hAnsi="Times New Roman" w:cs="Times New Roman"/>
                <w:sz w:val="24"/>
                <w:szCs w:val="24"/>
              </w:rPr>
              <w:t>the</w:t>
            </w:r>
            <w:r>
              <w:rPr>
                <w:rFonts w:ascii="Times New Roman" w:eastAsia="Times New Roman" w:hAnsi="Times New Roman" w:cs="Times New Roman"/>
                <w:sz w:val="24"/>
                <w:szCs w:val="24"/>
              </w:rPr>
              <w:t xml:space="preserve"> ESSA, Seller shall deliver the Development Security to Buyer within thirty (30) days of the Effective Date. Development Security shall be in the form of cash or a Letter of Credit. </w:t>
            </w:r>
          </w:p>
          <w:p w14:paraId="2316D0E9"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five (5) Business Days following any draw by Buyer on the Development Security or the </w:t>
            </w:r>
            <w:r w:rsidRPr="00F75C35">
              <w:rPr>
                <w:rFonts w:ascii="Times New Roman" w:hAnsi="Times New Roman" w:cs="Times New Roman"/>
                <w:sz w:val="24"/>
                <w:szCs w:val="24"/>
              </w:rPr>
              <w:t>Performance</w:t>
            </w:r>
            <w:r>
              <w:rPr>
                <w:rFonts w:ascii="Times New Roman" w:eastAsia="Times New Roman" w:hAnsi="Times New Roman" w:cs="Times New Roman"/>
                <w:sz w:val="24"/>
                <w:szCs w:val="24"/>
              </w:rPr>
              <w:t xml:space="preserve"> Security, Seller shall replenish the amount drawn such that the security is restored to the applicable amount.</w:t>
            </w:r>
          </w:p>
          <w:p w14:paraId="3D594220" w14:textId="77777777" w:rsidR="002A5ADE" w:rsidRPr="00883F82" w:rsidRDefault="002A5ADE" w:rsidP="009B681F">
            <w:pPr>
              <w:pStyle w:val="TableParagraph"/>
              <w:spacing w:before="120" w:after="120"/>
              <w:ind w:left="157" w:right="183"/>
              <w:jc w:val="both"/>
              <w:rPr>
                <w:sz w:val="24"/>
              </w:rPr>
            </w:pPr>
            <w:r w:rsidRPr="00883F82">
              <w:rPr>
                <w:sz w:val="24"/>
              </w:rPr>
              <w:t xml:space="preserve">To secure its obligations under </w:t>
            </w:r>
            <w:r w:rsidRPr="00F75C35">
              <w:rPr>
                <w:sz w:val="24"/>
                <w:szCs w:val="24"/>
              </w:rPr>
              <w:t>the</w:t>
            </w:r>
            <w:r w:rsidRPr="00883F82">
              <w:rPr>
                <w:sz w:val="24"/>
              </w:rPr>
              <w:t xml:space="preserve"> ESSA, Seller shall deliver Performance Security to Buyer on or before the Commercial Operation Date.</w:t>
            </w:r>
          </w:p>
        </w:tc>
      </w:tr>
      <w:tr w:rsidR="002A5ADE" w14:paraId="3CD20E87" w14:textId="77777777" w:rsidTr="009B681F">
        <w:trPr>
          <w:gridAfter w:val="1"/>
          <w:wAfter w:w="180" w:type="dxa"/>
          <w:trHeight w:val="371"/>
        </w:trPr>
        <w:tc>
          <w:tcPr>
            <w:tcW w:w="2044" w:type="dxa"/>
          </w:tcPr>
          <w:p w14:paraId="5F781705" w14:textId="77777777" w:rsidR="002A5ADE" w:rsidRPr="00883F82" w:rsidRDefault="002A5ADE" w:rsidP="009B681F">
            <w:pPr>
              <w:pStyle w:val="TableParagraph"/>
              <w:spacing w:before="120" w:after="120"/>
              <w:ind w:left="147"/>
              <w:rPr>
                <w:b/>
                <w:sz w:val="24"/>
              </w:rPr>
            </w:pPr>
            <w:r w:rsidRPr="00883F82">
              <w:rPr>
                <w:b/>
                <w:sz w:val="24"/>
              </w:rPr>
              <w:t xml:space="preserve">Compliance with </w:t>
            </w:r>
            <w:r w:rsidRPr="00883F82">
              <w:rPr>
                <w:b/>
                <w:sz w:val="24"/>
              </w:rPr>
              <w:lastRenderedPageBreak/>
              <w:t xml:space="preserve">Laws: </w:t>
            </w:r>
          </w:p>
        </w:tc>
        <w:tc>
          <w:tcPr>
            <w:tcW w:w="7018" w:type="dxa"/>
          </w:tcPr>
          <w:p w14:paraId="1D180059" w14:textId="77777777" w:rsidR="002A5ADE" w:rsidRPr="00883F82" w:rsidRDefault="002A5ADE" w:rsidP="009B681F">
            <w:pPr>
              <w:pStyle w:val="TableParagraph"/>
              <w:spacing w:before="120" w:after="120"/>
              <w:ind w:left="157" w:right="183"/>
              <w:jc w:val="both"/>
              <w:rPr>
                <w:sz w:val="24"/>
              </w:rPr>
            </w:pPr>
            <w:r w:rsidRPr="00883F82">
              <w:rPr>
                <w:sz w:val="24"/>
              </w:rPr>
              <w:lastRenderedPageBreak/>
              <w:t xml:space="preserve">Seller shall comply with all federal, state and local laws, statutes, ordinances, rules and regulations, and the orders and decrees of any </w:t>
            </w:r>
            <w:r w:rsidRPr="00883F82">
              <w:rPr>
                <w:sz w:val="24"/>
              </w:rPr>
              <w:lastRenderedPageBreak/>
              <w:t>courts or administrative bodies or tribunals, including, without limitation those related to employment discrimination and prevailing wage, non-discrimination and non-preference; conflict of interest; environmentally preferable procurement; single serving bottled water; gifts; and disqualification of former employees.</w:t>
            </w:r>
          </w:p>
        </w:tc>
      </w:tr>
      <w:tr w:rsidR="002A5ADE" w14:paraId="3755E16B" w14:textId="77777777" w:rsidTr="009B681F">
        <w:trPr>
          <w:gridAfter w:val="1"/>
          <w:wAfter w:w="180" w:type="dxa"/>
          <w:trHeight w:val="371"/>
        </w:trPr>
        <w:tc>
          <w:tcPr>
            <w:tcW w:w="2044" w:type="dxa"/>
          </w:tcPr>
          <w:p w14:paraId="618433B9" w14:textId="77777777" w:rsidR="002A5ADE" w:rsidRPr="00883F82" w:rsidRDefault="002A5ADE" w:rsidP="009B681F">
            <w:pPr>
              <w:pStyle w:val="TableParagraph"/>
              <w:spacing w:before="120" w:after="120"/>
              <w:ind w:left="147"/>
              <w:rPr>
                <w:b/>
                <w:sz w:val="24"/>
              </w:rPr>
            </w:pPr>
            <w:r w:rsidRPr="00883F82">
              <w:rPr>
                <w:b/>
                <w:sz w:val="24"/>
              </w:rPr>
              <w:lastRenderedPageBreak/>
              <w:t>Business Tax:</w:t>
            </w:r>
            <w:r w:rsidRPr="00883F82">
              <w:rPr>
                <w:rStyle w:val="FootnoteReference"/>
                <w:b/>
                <w:sz w:val="24"/>
              </w:rPr>
              <w:t xml:space="preserve"> </w:t>
            </w:r>
            <w:r w:rsidRPr="00F75C35">
              <w:rPr>
                <w:rStyle w:val="FootnoteReference"/>
                <w:b/>
                <w:bCs/>
                <w:sz w:val="24"/>
                <w:szCs w:val="24"/>
              </w:rPr>
              <w:footnoteReference w:id="1"/>
            </w:r>
            <w:r w:rsidRPr="00F75C35">
              <w:rPr>
                <w:b/>
                <w:sz w:val="24"/>
                <w:szCs w:val="24"/>
              </w:rPr>
              <w:t xml:space="preserve"> </w:t>
            </w:r>
          </w:p>
        </w:tc>
        <w:tc>
          <w:tcPr>
            <w:tcW w:w="7018" w:type="dxa"/>
          </w:tcPr>
          <w:p w14:paraId="27C12284" w14:textId="77777777" w:rsidR="002A5ADE" w:rsidRPr="00883F82" w:rsidRDefault="002A5ADE" w:rsidP="009B681F">
            <w:pPr>
              <w:pStyle w:val="TableParagraph"/>
              <w:spacing w:before="120" w:after="120"/>
              <w:ind w:left="157" w:right="183"/>
              <w:jc w:val="both"/>
              <w:rPr>
                <w:sz w:val="24"/>
              </w:rPr>
            </w:pPr>
            <w:r w:rsidRPr="00883F82">
              <w:rPr>
                <w:sz w:val="24"/>
              </w:rPr>
              <w:t xml:space="preserve">The Seller shall obtain a City business tax certificate or exemption, if qualified, and will maintain such certificate or exemption for the Proposed Transaction term. </w:t>
            </w:r>
          </w:p>
        </w:tc>
      </w:tr>
      <w:tr w:rsidR="002A5ADE" w14:paraId="394F12CC" w14:textId="77777777" w:rsidTr="009B681F">
        <w:trPr>
          <w:gridAfter w:val="1"/>
          <w:wAfter w:w="180" w:type="dxa"/>
          <w:trHeight w:val="371"/>
        </w:trPr>
        <w:tc>
          <w:tcPr>
            <w:tcW w:w="2044" w:type="dxa"/>
          </w:tcPr>
          <w:p w14:paraId="74B599F0" w14:textId="77777777" w:rsidR="002A5ADE" w:rsidRDefault="002A5ADE" w:rsidP="009B681F">
            <w:pPr>
              <w:spacing w:before="120" w:after="120"/>
              <w:ind w:left="147"/>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75DF84BF" w14:textId="77777777" w:rsidR="002A5ADE" w:rsidRPr="00883F82" w:rsidRDefault="002A5ADE" w:rsidP="009B681F">
            <w:pPr>
              <w:pStyle w:val="TableParagraph"/>
              <w:spacing w:before="120" w:after="120"/>
              <w:ind w:left="147"/>
              <w:rPr>
                <w:b/>
                <w:sz w:val="24"/>
              </w:rPr>
            </w:pPr>
          </w:p>
        </w:tc>
        <w:tc>
          <w:tcPr>
            <w:tcW w:w="7018" w:type="dxa"/>
          </w:tcPr>
          <w:p w14:paraId="1AF47745"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Party may assign the ESSA without prior written consent of the other party, which will not be unreasonably withheld; provided, that Seller has the right to assign the ESSA as collateral for any financing or refinancing of the Facility without the consent of Buyer. </w:t>
            </w:r>
          </w:p>
          <w:p w14:paraId="2F904A7D"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direct or indirect change of control of Seller (whether voluntary or by operation of law) will be deemed an assignment and will require the prior written consent of Buyer, which will not be unreasonably withheld. </w:t>
            </w:r>
          </w:p>
          <w:p w14:paraId="4D866EA2" w14:textId="77777777" w:rsidR="002A5ADE" w:rsidRPr="00883F82" w:rsidRDefault="002A5ADE" w:rsidP="009B681F">
            <w:pPr>
              <w:pStyle w:val="TableParagraph"/>
              <w:spacing w:before="120" w:after="120"/>
              <w:ind w:left="157" w:right="183"/>
              <w:jc w:val="both"/>
              <w:rPr>
                <w:sz w:val="24"/>
              </w:rPr>
            </w:pPr>
            <w:r w:rsidRPr="00883F82">
              <w:rPr>
                <w:sz w:val="24"/>
              </w:rPr>
              <w:t xml:space="preserve">Seller shall pay Buyer’s reasonable expenses, including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w:t>
            </w:r>
            <w:proofErr w:type="gramStart"/>
            <w:r w:rsidRPr="00883F82">
              <w:rPr>
                <w:sz w:val="24"/>
              </w:rPr>
              <w:t>risks</w:t>
            </w:r>
            <w:proofErr w:type="gramEnd"/>
            <w:r w:rsidRPr="00883F82">
              <w:rPr>
                <w:sz w:val="24"/>
              </w:rPr>
              <w:t xml:space="preserve"> or obligations under the ESSA, or to modify such ESSA.</w:t>
            </w:r>
          </w:p>
        </w:tc>
      </w:tr>
      <w:tr w:rsidR="002A5ADE" w14:paraId="12D5AA84" w14:textId="77777777" w:rsidTr="009B681F">
        <w:trPr>
          <w:gridAfter w:val="1"/>
          <w:wAfter w:w="180" w:type="dxa"/>
          <w:trHeight w:val="371"/>
        </w:trPr>
        <w:tc>
          <w:tcPr>
            <w:tcW w:w="2044" w:type="dxa"/>
          </w:tcPr>
          <w:p w14:paraId="2990DCB3" w14:textId="77777777" w:rsidR="002A5ADE" w:rsidRPr="00883F82" w:rsidRDefault="002A5ADE" w:rsidP="009B681F">
            <w:pPr>
              <w:pStyle w:val="TableParagraph"/>
              <w:spacing w:before="120" w:after="120"/>
              <w:ind w:left="147"/>
              <w:rPr>
                <w:b/>
                <w:sz w:val="24"/>
              </w:rPr>
            </w:pPr>
            <w:r w:rsidRPr="00F75C35">
              <w:rPr>
                <w:b/>
                <w:sz w:val="24"/>
                <w:szCs w:val="24"/>
              </w:rPr>
              <w:t>No Recourse to Members of Buyer</w:t>
            </w:r>
            <w:r w:rsidRPr="00F75C35">
              <w:rPr>
                <w:rStyle w:val="FootnoteReference"/>
                <w:b/>
                <w:sz w:val="24"/>
                <w:szCs w:val="24"/>
              </w:rPr>
              <w:footnoteReference w:id="2"/>
            </w:r>
          </w:p>
        </w:tc>
        <w:tc>
          <w:tcPr>
            <w:tcW w:w="7018" w:type="dxa"/>
          </w:tcPr>
          <w:p w14:paraId="356F8888" w14:textId="77777777" w:rsidR="002A5ADE" w:rsidRPr="00883F82" w:rsidRDefault="002A5ADE" w:rsidP="009B681F">
            <w:pPr>
              <w:pStyle w:val="TableParagraph"/>
              <w:spacing w:before="120" w:after="120"/>
              <w:ind w:left="157" w:right="183"/>
              <w:jc w:val="both"/>
              <w:rPr>
                <w:sz w:val="24"/>
              </w:rPr>
            </w:pPr>
            <w:r w:rsidRPr="00F75C35">
              <w:rPr>
                <w:sz w:val="24"/>
                <w:szCs w:val="24"/>
              </w:rPr>
              <w:t>Buyer is organized as a Joint Powers Authority in accordance with the Joint Exercise of Powers Act of the State of California (Government Code Section 6500, et seq.) and is a public entity separate from its constituent members. Buyer will solely be responsible for all debts, obligations and liabilities accruing and arising out of this Confirmation. Seller will have no rights and will not make any claims, take any actions or assert any remedies against any of Buyer’s constituent members, or the officers, directors, advisors, contractors, consultants or employees of Buyer or Buyer’s constituent members, in connection with this Confirmation.</w:t>
            </w:r>
          </w:p>
        </w:tc>
      </w:tr>
      <w:tr w:rsidR="002A5ADE" w:rsidRPr="00B04C5A" w14:paraId="5CBA077F" w14:textId="77777777" w:rsidTr="009B681F">
        <w:trPr>
          <w:trHeight w:val="371"/>
        </w:trPr>
        <w:tc>
          <w:tcPr>
            <w:tcW w:w="2044" w:type="dxa"/>
          </w:tcPr>
          <w:p w14:paraId="29FB4D04" w14:textId="77777777" w:rsidR="002A5ADE" w:rsidRPr="00F75C35" w:rsidRDefault="002A5ADE" w:rsidP="009B681F">
            <w:pPr>
              <w:spacing w:before="120" w:after="120"/>
              <w:ind w:left="147"/>
              <w:rPr>
                <w:rFonts w:ascii="Times New Roman" w:hAnsi="Times New Roman" w:cs="Times New Roman"/>
                <w:b/>
                <w:sz w:val="24"/>
                <w:szCs w:val="24"/>
              </w:rPr>
            </w:pPr>
            <w:r w:rsidRPr="00883F82">
              <w:rPr>
                <w:b/>
                <w:sz w:val="24"/>
              </w:rPr>
              <w:t>Appropriation of Funds:</w:t>
            </w:r>
            <w:r w:rsidRPr="00F75C35">
              <w:rPr>
                <w:rStyle w:val="FootnoteReference"/>
                <w:b/>
                <w:bCs/>
                <w:sz w:val="24"/>
                <w:szCs w:val="24"/>
              </w:rPr>
              <w:footnoteReference w:id="3"/>
            </w:r>
          </w:p>
        </w:tc>
        <w:tc>
          <w:tcPr>
            <w:tcW w:w="7198" w:type="dxa"/>
            <w:gridSpan w:val="2"/>
          </w:tcPr>
          <w:p w14:paraId="28C65BBC" w14:textId="77777777" w:rsidR="002A5ADE" w:rsidRPr="00F75C35" w:rsidRDefault="002A5ADE" w:rsidP="009B681F">
            <w:pPr>
              <w:spacing w:before="120" w:after="120"/>
              <w:ind w:left="157" w:right="183"/>
              <w:jc w:val="both"/>
              <w:rPr>
                <w:rFonts w:ascii="Times New Roman" w:hAnsi="Times New Roman" w:cs="Times New Roman"/>
                <w:sz w:val="24"/>
                <w:szCs w:val="24"/>
              </w:rPr>
            </w:pPr>
            <w:r w:rsidRPr="00F75C35">
              <w:rPr>
                <w:sz w:val="24"/>
                <w:szCs w:val="24"/>
              </w:rPr>
              <w:t>[</w:t>
            </w:r>
            <w:r w:rsidRPr="00883F82">
              <w:rPr>
                <w:sz w:val="24"/>
              </w:rPr>
              <w:t xml:space="preserve">Buyer is a municipal corporation and is precluded under the California State Constitution and applicable law from entering into obligations that financially bind future governing bodies, </w:t>
            </w:r>
            <w:r w:rsidRPr="00883F82">
              <w:rPr>
                <w:sz w:val="24"/>
              </w:rPr>
              <w:lastRenderedPageBreak/>
              <w:t>and, therefore, nothing in the ESSA shall constitute an obligation of future legislative bodies of the City to appropriate funds for purposes of the ESSA; provided, however, that (a) Buyer has created and set aside the Designated Fund for payment of its obligations under the ESSA and (b) subject to the requirements and limitations of applicable law and taking into account other available money specifically authorized by the San José City Council and allocated and appropriated to the San José Clean Energy’s obligations, Buyer agrees to establish San José Clean Energy rates and charges that are sufficient to maintain revenues in the Special Fund necessary to pay its obligations under the ESSA and all of Buyer’s payment obligations under its other contracts for the purchase of energy for San José Clean Energy. Buyer’s payment obligations under the ESSA are special limited obligations of Buyer payable solely from the Special Fund and are not a charge upon the revenues or general fund of the City of San José or upon any non- San José Clean Energy moneys or other property of the Community Energy Department or the City of San José. Buyer shall provide Seller with reasonable access to account balance information with respect to the San José Clean Energy Designated Fund during the term of the ESSA.</w:t>
            </w:r>
          </w:p>
        </w:tc>
      </w:tr>
      <w:tr w:rsidR="002A5ADE" w14:paraId="7A47881D" w14:textId="77777777" w:rsidTr="009B681F">
        <w:trPr>
          <w:gridAfter w:val="1"/>
          <w:wAfter w:w="180" w:type="dxa"/>
          <w:trHeight w:val="371"/>
        </w:trPr>
        <w:tc>
          <w:tcPr>
            <w:tcW w:w="2044" w:type="dxa"/>
          </w:tcPr>
          <w:p w14:paraId="67BE88EC" w14:textId="77777777" w:rsidR="002A5ADE" w:rsidRPr="00883F82" w:rsidRDefault="002A5ADE" w:rsidP="009B681F">
            <w:pPr>
              <w:pStyle w:val="TableParagraph"/>
              <w:spacing w:before="120" w:after="120"/>
              <w:ind w:left="147"/>
              <w:rPr>
                <w:b/>
                <w:sz w:val="24"/>
              </w:rPr>
            </w:pPr>
            <w:r w:rsidRPr="00883F82">
              <w:rPr>
                <w:b/>
                <w:sz w:val="24"/>
              </w:rPr>
              <w:lastRenderedPageBreak/>
              <w:t>Designated Fund and Limited Obligation:</w:t>
            </w:r>
          </w:p>
        </w:tc>
        <w:tc>
          <w:tcPr>
            <w:tcW w:w="7018" w:type="dxa"/>
          </w:tcPr>
          <w:p w14:paraId="1397B442" w14:textId="77777777" w:rsidR="002A5ADE" w:rsidRPr="00883F82" w:rsidRDefault="002A5ADE" w:rsidP="009B681F">
            <w:pPr>
              <w:spacing w:before="120" w:after="120"/>
              <w:ind w:left="157" w:right="183"/>
              <w:jc w:val="both"/>
              <w:rPr>
                <w:rFonts w:ascii="Times New Roman" w:hAnsi="Times New Roman"/>
                <w:sz w:val="24"/>
              </w:rPr>
            </w:pPr>
            <w:bookmarkStart w:id="2" w:name="_Toc380420000"/>
            <w:r w:rsidRPr="00883F82">
              <w:rPr>
                <w:rFonts w:ascii="Times New Roman" w:hAnsi="Times New Roman"/>
                <w:b/>
                <w:sz w:val="24"/>
                <w:u w:val="single"/>
              </w:rPr>
              <w:t>Designated Fund</w:t>
            </w:r>
            <w:r w:rsidRPr="00883F82">
              <w:rPr>
                <w:rFonts w:ascii="Times New Roman" w:hAnsi="Times New Roman"/>
                <w:sz w:val="24"/>
              </w:rPr>
              <w:t xml:space="preserve">. Buyer’s payment obligations under this Agreement shall be paid from a Department of Community Energy designated fund (“Designated Fund”) that shall be used solely for San José Clean Energy costs and expenses, including the obligations under this Agreement. Subject to the requirements and limitations of Applicable Law and taking into account other available money specifically authorized by the San José City Council and allocated and appropriated to the San José Clean Energy’s obligations, the Buyer agrees to establish San José Clean Energy rates and charges that are sufficient to maintain revenues in the Designated Fund necessary to pay its obligations under this Agreement and all of Buyer’s payment obligations under its other contracts for the purchase of energy for San José Clean Energy. Buyer shall provide Seller with reasonable access to account balance information with respect to the San José Clean Energy Designated Fund during the Term. </w:t>
            </w:r>
          </w:p>
          <w:p w14:paraId="3DEAF861" w14:textId="77777777" w:rsidR="002A5ADE" w:rsidRPr="00883F82" w:rsidRDefault="002A5ADE" w:rsidP="009B681F">
            <w:pPr>
              <w:pStyle w:val="TableParagraph"/>
              <w:spacing w:before="120" w:after="120"/>
              <w:ind w:left="157" w:right="183"/>
              <w:jc w:val="both"/>
              <w:rPr>
                <w:sz w:val="24"/>
              </w:rPr>
            </w:pPr>
            <w:r w:rsidRPr="00883F82">
              <w:rPr>
                <w:b/>
                <w:sz w:val="24"/>
                <w:u w:val="single"/>
              </w:rPr>
              <w:t>Limited Obligations</w:t>
            </w:r>
            <w:r w:rsidRPr="00883F82">
              <w:rPr>
                <w:sz w:val="24"/>
              </w:rPr>
              <w:t xml:space="preserve">. Buyer’s payment obligations are special limited obligations of the Buyer payable solely from the Designated Fund. Buyer’s payment obligations under this Agreement are not a charge </w:t>
            </w:r>
            <w:r w:rsidRPr="00883F82">
              <w:rPr>
                <w:sz w:val="24"/>
              </w:rPr>
              <w:lastRenderedPageBreak/>
              <w:t>upon the revenues or general fund of the City of San José or upon any non- San José Clean Energy moneys or other property of the Community Energy Department or the City of San José</w:t>
            </w:r>
            <w:r w:rsidRPr="00F75C35">
              <w:rPr>
                <w:sz w:val="24"/>
                <w:szCs w:val="24"/>
                <w:lang w:eastAsia="zh-TW"/>
              </w:rPr>
              <w:t>.</w:t>
            </w:r>
            <w:bookmarkEnd w:id="2"/>
            <w:r w:rsidRPr="00F75C35">
              <w:rPr>
                <w:sz w:val="24"/>
                <w:szCs w:val="24"/>
                <w:lang w:eastAsia="zh-TW"/>
              </w:rPr>
              <w:t>]</w:t>
            </w:r>
          </w:p>
        </w:tc>
      </w:tr>
      <w:tr w:rsidR="002A5ADE" w14:paraId="0105103F" w14:textId="77777777" w:rsidTr="009B681F">
        <w:trPr>
          <w:gridAfter w:val="1"/>
          <w:wAfter w:w="180" w:type="dxa"/>
          <w:trHeight w:val="371"/>
        </w:trPr>
        <w:tc>
          <w:tcPr>
            <w:tcW w:w="2044" w:type="dxa"/>
          </w:tcPr>
          <w:p w14:paraId="253DA970" w14:textId="77777777" w:rsidR="002A5ADE" w:rsidRPr="00883F82" w:rsidRDefault="002A5ADE" w:rsidP="009B681F">
            <w:pPr>
              <w:pStyle w:val="TableParagraph"/>
              <w:spacing w:before="120" w:after="120"/>
              <w:ind w:left="147"/>
              <w:rPr>
                <w:b/>
                <w:sz w:val="24"/>
              </w:rPr>
            </w:pPr>
            <w:r w:rsidRPr="00883F82">
              <w:rPr>
                <w:b/>
                <w:sz w:val="24"/>
              </w:rPr>
              <w:lastRenderedPageBreak/>
              <w:t>Force Majeure:</w:t>
            </w:r>
          </w:p>
        </w:tc>
        <w:tc>
          <w:tcPr>
            <w:tcW w:w="7018" w:type="dxa"/>
          </w:tcPr>
          <w:p w14:paraId="4999EC8D" w14:textId="77777777" w:rsidR="002A5ADE" w:rsidRDefault="002A5ADE" w:rsidP="009B681F">
            <w:pPr>
              <w:ind w:left="182" w:right="176"/>
              <w:jc w:val="both"/>
              <w:rPr>
                <w:rFonts w:ascii="Times New Roman" w:eastAsia="Times New Roman" w:hAnsi="Times New Roman" w:cs="Times New Roman"/>
                <w:sz w:val="24"/>
                <w:szCs w:val="24"/>
              </w:rPr>
            </w:pPr>
            <w:bookmarkStart w:id="3" w:name="_heading=h.qsh70q" w:colFirst="0" w:colLast="0"/>
            <w:bookmarkEnd w:id="3"/>
            <w:r>
              <w:rPr>
                <w:rFonts w:ascii="Times New Roman" w:eastAsia="Times New Roman" w:hAnsi="Times New Roman" w:cs="Times New Roman"/>
                <w:sz w:val="24"/>
                <w:szCs w:val="24"/>
              </w:rPr>
              <w:t>“Force Majeure Event”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3114C646" w14:textId="77777777" w:rsidR="002A5ADE" w:rsidRDefault="002A5ADE" w:rsidP="009B681F">
            <w:pPr>
              <w:ind w:left="182"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 </w:t>
            </w:r>
          </w:p>
          <w:p w14:paraId="0507383C" w14:textId="77777777" w:rsidR="002A5ADE" w:rsidRPr="00883F82" w:rsidRDefault="002A5ADE" w:rsidP="009B681F">
            <w:pPr>
              <w:spacing w:before="120" w:after="120"/>
              <w:ind w:left="157" w:right="183"/>
              <w:jc w:val="both"/>
              <w:rPr>
                <w:rFonts w:ascii="Times New Roman" w:hAnsi="Times New Roman"/>
                <w:sz w:val="24"/>
              </w:rPr>
            </w:pPr>
            <w:r>
              <w:rPr>
                <w:rFonts w:ascii="Times New Roman" w:eastAsia="Times New Roman" w:hAnsi="Times New Roman" w:cs="Times New Roman"/>
                <w:sz w:val="24"/>
                <w:szCs w:val="24"/>
              </w:rPr>
              <w:t>Notwithstanding the foregoing, the term “Force Majeure Event” does not include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economic conditions that render a Party’s performance of this Agreement at the Contract Price unprofitable or otherwise uneconomic (including 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this Agreement,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w:t>
            </w:r>
            <w:r>
              <w:rPr>
                <w:rFonts w:ascii="Times New Roman" w:eastAsia="Times New Roman" w:hAnsi="Times New Roman" w:cs="Times New Roman"/>
                <w:sz w:val="24"/>
                <w:szCs w:val="24"/>
              </w:rPr>
              <w:lastRenderedPageBreak/>
              <w:t>failure except if such equipment failure is caused by a Force Majeure Event; or (viii) events otherwise constituting a Force Majeure Event that prevent Seller from achieving Construction Start or Commercial Operation of the Storage Facility, except to the extent expressly permitted as an extension under the ESSA.</w:t>
            </w:r>
          </w:p>
        </w:tc>
      </w:tr>
      <w:tr w:rsidR="002A5ADE" w14:paraId="255D8D79" w14:textId="77777777" w:rsidTr="009B681F">
        <w:trPr>
          <w:gridAfter w:val="1"/>
          <w:wAfter w:w="180" w:type="dxa"/>
          <w:trHeight w:val="371"/>
        </w:trPr>
        <w:tc>
          <w:tcPr>
            <w:tcW w:w="2044" w:type="dxa"/>
          </w:tcPr>
          <w:p w14:paraId="3A4CE813" w14:textId="77777777" w:rsidR="002A5ADE" w:rsidRPr="00883F82" w:rsidRDefault="002A5ADE" w:rsidP="009B681F">
            <w:pPr>
              <w:pStyle w:val="TableParagraph"/>
              <w:spacing w:before="120" w:after="120"/>
              <w:ind w:left="147"/>
              <w:rPr>
                <w:b/>
                <w:sz w:val="24"/>
              </w:rPr>
            </w:pPr>
            <w:r w:rsidRPr="00883F82">
              <w:rPr>
                <w:b/>
                <w:sz w:val="24"/>
              </w:rPr>
              <w:lastRenderedPageBreak/>
              <w:t>Other Standard Contract Terms to be included in the ESSA:</w:t>
            </w:r>
          </w:p>
        </w:tc>
        <w:tc>
          <w:tcPr>
            <w:tcW w:w="7018" w:type="dxa"/>
          </w:tcPr>
          <w:p w14:paraId="336FFAAB"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Event of Default</w:t>
            </w:r>
            <w:r>
              <w:rPr>
                <w:rFonts w:ascii="Times New Roman" w:eastAsia="Times New Roman" w:hAnsi="Times New Roman" w:cs="Times New Roman"/>
                <w:sz w:val="24"/>
                <w:szCs w:val="24"/>
              </w:rPr>
              <w:t xml:space="preserve">: Events of Default shall include, but not be limited to, failure to pay any amounts when due, breach of representations and warranties, failure to perform covenants and material obligations in the ESSA, bankruptcy, assignment not permitted by the ESSA, Seller failure to achieve Construction Start within one hundred eighty (180) days of Guaranteed Construction Start Date, and Seller failure to achieve Commercial Operation </w:t>
            </w:r>
            <w:r w:rsidRPr="00F75C35">
              <w:rPr>
                <w:rFonts w:ascii="Times New Roman" w:hAnsi="Times New Roman" w:cs="Times New Roman"/>
                <w:sz w:val="24"/>
                <w:szCs w:val="24"/>
              </w:rPr>
              <w:t>within</w:t>
            </w:r>
            <w:r>
              <w:rPr>
                <w:rFonts w:ascii="Times New Roman" w:eastAsia="Times New Roman" w:hAnsi="Times New Roman" w:cs="Times New Roman"/>
                <w:sz w:val="24"/>
                <w:szCs w:val="24"/>
              </w:rPr>
              <w:t xml:space="preserve"> sixty (60) days after the Guaranteed Commercial Operation Date. </w:t>
            </w:r>
            <w:r w:rsidRPr="00F75C35">
              <w:rPr>
                <w:rFonts w:ascii="Times New Roman" w:hAnsi="Times New Roman" w:cs="Times New Roman"/>
                <w:sz w:val="24"/>
                <w:szCs w:val="24"/>
              </w:rPr>
              <w:t xml:space="preserve"> </w:t>
            </w:r>
          </w:p>
          <w:p w14:paraId="69F04849" w14:textId="77777777" w:rsidR="002A5ADE" w:rsidRPr="00F75C35" w:rsidRDefault="002A5ADE" w:rsidP="009B681F">
            <w:pPr>
              <w:spacing w:before="120" w:after="120"/>
              <w:ind w:left="157" w:right="183"/>
              <w:jc w:val="both"/>
              <w:rPr>
                <w:rFonts w:ascii="Times New Roman" w:hAnsi="Times New Roman" w:cs="Times New Roman"/>
                <w:sz w:val="24"/>
                <w:szCs w:val="24"/>
              </w:rPr>
            </w:pPr>
            <w:r w:rsidRPr="00F75C35">
              <w:rPr>
                <w:rFonts w:ascii="Times New Roman" w:hAnsi="Times New Roman" w:cs="Times New Roman"/>
                <w:b/>
                <w:bCs/>
                <w:sz w:val="24"/>
                <w:szCs w:val="24"/>
                <w:u w:val="single"/>
              </w:rPr>
              <w:t>Indemnification</w:t>
            </w:r>
            <w:r w:rsidRPr="00F75C35">
              <w:rPr>
                <w:rFonts w:ascii="Times New Roman" w:hAnsi="Times New Roman" w:cs="Times New Roman"/>
                <w:sz w:val="24"/>
                <w:szCs w:val="24"/>
              </w:rPr>
              <w:t>: Seller to indemnify Buyer for third party claims arising from Seller’s negligence, willful misconduct, or breach of the ESSA.</w:t>
            </w:r>
          </w:p>
          <w:p w14:paraId="42121460"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Governing Law</w:t>
            </w:r>
            <w:r>
              <w:rPr>
                <w:rFonts w:ascii="Times New Roman" w:eastAsia="Times New Roman" w:hAnsi="Times New Roman" w:cs="Times New Roman"/>
                <w:sz w:val="24"/>
                <w:szCs w:val="24"/>
              </w:rPr>
              <w:t>: State of California</w:t>
            </w:r>
          </w:p>
          <w:p w14:paraId="4AA48A61" w14:textId="77777777" w:rsidR="002A5ADE" w:rsidRDefault="002A5ADE" w:rsidP="009B681F">
            <w:pPr>
              <w:ind w:left="182" w:right="176"/>
              <w:jc w:val="both"/>
              <w:rPr>
                <w:rFonts w:ascii="Times New Roman" w:eastAsia="Times New Roman" w:hAnsi="Times New Roman" w:cs="Times New Roman"/>
                <w:sz w:val="24"/>
                <w:szCs w:val="24"/>
              </w:rPr>
            </w:pPr>
            <w:r w:rsidRPr="00883F82">
              <w:rPr>
                <w:b/>
                <w:sz w:val="24"/>
                <w:u w:val="single"/>
              </w:rPr>
              <w:t>Venue</w:t>
            </w:r>
            <w:r w:rsidRPr="00883F82">
              <w:rPr>
                <w:sz w:val="24"/>
              </w:rPr>
              <w:t>: Santa Clara County</w:t>
            </w:r>
          </w:p>
        </w:tc>
      </w:tr>
      <w:tr w:rsidR="002A5ADE" w14:paraId="22203EA7" w14:textId="77777777" w:rsidTr="009B681F">
        <w:trPr>
          <w:gridAfter w:val="1"/>
          <w:wAfter w:w="180" w:type="dxa"/>
          <w:trHeight w:val="371"/>
        </w:trPr>
        <w:tc>
          <w:tcPr>
            <w:tcW w:w="2044" w:type="dxa"/>
          </w:tcPr>
          <w:p w14:paraId="11091375" w14:textId="77777777" w:rsidR="002A5ADE" w:rsidRPr="00883F82" w:rsidRDefault="002A5ADE" w:rsidP="009B681F">
            <w:pPr>
              <w:pStyle w:val="TableParagraph"/>
              <w:spacing w:before="120" w:after="120"/>
              <w:ind w:left="147"/>
              <w:rPr>
                <w:b/>
                <w:sz w:val="24"/>
              </w:rPr>
            </w:pPr>
            <w:r w:rsidRPr="00883F82">
              <w:rPr>
                <w:b/>
                <w:sz w:val="24"/>
              </w:rPr>
              <w:t>Definitions:</w:t>
            </w:r>
          </w:p>
        </w:tc>
        <w:tc>
          <w:tcPr>
            <w:tcW w:w="7018" w:type="dxa"/>
          </w:tcPr>
          <w:p w14:paraId="243C2155"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terms, when used herein with initial capitalization, shall have the meanings set forth below:</w:t>
            </w:r>
          </w:p>
          <w:p w14:paraId="31D78BB4"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CAISO</w:t>
            </w:r>
            <w:r>
              <w:rPr>
                <w:rFonts w:ascii="Times New Roman" w:eastAsia="Times New Roman" w:hAnsi="Times New Roman" w:cs="Times New Roman"/>
                <w:sz w:val="24"/>
                <w:szCs w:val="24"/>
              </w:rPr>
              <w:t>” means the California Independent System Operator.</w:t>
            </w:r>
          </w:p>
          <w:p w14:paraId="3517395B"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CAISO Tariff</w:t>
            </w:r>
            <w:r>
              <w:rPr>
                <w:rFonts w:ascii="Times New Roman" w:eastAsia="Times New Roman" w:hAnsi="Times New Roman" w:cs="Times New Roman"/>
                <w:sz w:val="24"/>
                <w:szCs w:val="24"/>
              </w:rP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57001E0A"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CEC</w:t>
            </w:r>
            <w:r>
              <w:rPr>
                <w:rFonts w:ascii="Times New Roman" w:eastAsia="Times New Roman" w:hAnsi="Times New Roman" w:cs="Times New Roman"/>
                <w:sz w:val="24"/>
                <w:szCs w:val="24"/>
              </w:rPr>
              <w:t>” means the California Energy Commission, or any successor agency performing similar statutory functions.</w:t>
            </w:r>
          </w:p>
          <w:p w14:paraId="3A8D5880"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CEQA</w:t>
            </w:r>
            <w:r>
              <w:rPr>
                <w:rFonts w:ascii="Times New Roman" w:eastAsia="Times New Roman" w:hAnsi="Times New Roman" w:cs="Times New Roman"/>
                <w:sz w:val="24"/>
                <w:szCs w:val="24"/>
              </w:rPr>
              <w:t>” means the California Environmental Quality Act.</w:t>
            </w:r>
          </w:p>
          <w:p w14:paraId="5B88EB6F"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Delivery Term</w:t>
            </w:r>
            <w:r>
              <w:rPr>
                <w:rFonts w:ascii="Times New Roman" w:eastAsia="Times New Roman" w:hAnsi="Times New Roman" w:cs="Times New Roman"/>
                <w:sz w:val="24"/>
                <w:szCs w:val="24"/>
              </w:rPr>
              <w:t>” shall mean the period of Contract Years beginning on the Commercial Operation Date.</w:t>
            </w:r>
          </w:p>
          <w:p w14:paraId="2EBCDF5C"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Full Capacity Deliverability Status</w:t>
            </w:r>
            <w:r>
              <w:rPr>
                <w:rFonts w:ascii="Times New Roman" w:eastAsia="Times New Roman" w:hAnsi="Times New Roman" w:cs="Times New Roman"/>
                <w:sz w:val="24"/>
                <w:szCs w:val="24"/>
              </w:rPr>
              <w:t>” has the meaning set forth in the CAISO Tariff.</w:t>
            </w:r>
          </w:p>
          <w:p w14:paraId="1ED1A4B1" w14:textId="77777777" w:rsidR="002A5ADE" w:rsidRDefault="002A5ADE" w:rsidP="009B681F">
            <w:pPr>
              <w:spacing w:before="120" w:after="120"/>
              <w:ind w:left="157" w:right="1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Letter(s) of Credit</w:t>
            </w:r>
            <w:r>
              <w:rPr>
                <w:rFonts w:ascii="Times New Roman" w:eastAsia="Times New Roman" w:hAnsi="Times New Roman" w:cs="Times New Roman"/>
                <w:sz w:val="24"/>
                <w:szCs w:val="24"/>
              </w:rPr>
              <w:t xml:space="preserve">” means one or more irrevocable, standby letters of credit issued by a U.S. commercial bank or a foreign bank with a U.S. branch with such bank (a) having a credit rating of at least A- with an outlook designation of “stable” from S&amp;P or A3 with an </w:t>
            </w:r>
            <w:r>
              <w:rPr>
                <w:rFonts w:ascii="Times New Roman" w:eastAsia="Times New Roman" w:hAnsi="Times New Roman" w:cs="Times New Roman"/>
                <w:sz w:val="24"/>
                <w:szCs w:val="24"/>
              </w:rPr>
              <w:lastRenderedPageBreak/>
              <w:t>outlook designation of “stable” from Moody’s or (b) being reasonably acceptable to Buyer.</w:t>
            </w:r>
          </w:p>
          <w:p w14:paraId="6BA7CCBA" w14:textId="77777777" w:rsidR="002A5ADE" w:rsidRDefault="002A5ADE" w:rsidP="009B681F">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MW</w:t>
            </w:r>
            <w:r>
              <w:rPr>
                <w:rFonts w:ascii="Times New Roman" w:eastAsia="Times New Roman" w:hAnsi="Times New Roman" w:cs="Times New Roman"/>
                <w:sz w:val="24"/>
                <w:szCs w:val="24"/>
              </w:rPr>
              <w:t>” means megawatts in alternating current, unless expressly stated in terms of direct current.</w:t>
            </w:r>
          </w:p>
          <w:p w14:paraId="1F65DEC7" w14:textId="77777777" w:rsidR="002A5ADE" w:rsidRPr="00883F82" w:rsidRDefault="002A5ADE" w:rsidP="009B681F">
            <w:pPr>
              <w:pStyle w:val="TableParagraph"/>
              <w:spacing w:before="120" w:after="120"/>
              <w:ind w:left="157" w:right="183"/>
              <w:jc w:val="both"/>
              <w:rPr>
                <w:sz w:val="24"/>
              </w:rPr>
            </w:pPr>
            <w:r w:rsidRPr="00883F82">
              <w:rPr>
                <w:sz w:val="24"/>
              </w:rPr>
              <w:t>“</w:t>
            </w:r>
            <w:r w:rsidRPr="00883F82">
              <w:rPr>
                <w:b/>
                <w:sz w:val="24"/>
                <w:u w:val="single"/>
              </w:rPr>
              <w:t>MWh</w:t>
            </w:r>
            <w:r w:rsidRPr="00883F82">
              <w:rPr>
                <w:sz w:val="24"/>
              </w:rPr>
              <w:t xml:space="preserve">” means megawatt-hour measured </w:t>
            </w:r>
            <w:r w:rsidRPr="00883F82">
              <w:rPr>
                <w:color w:val="000000" w:themeColor="text1"/>
                <w:sz w:val="24"/>
              </w:rPr>
              <w:t xml:space="preserve">in alternating current, </w:t>
            </w:r>
            <w:r w:rsidRPr="00883F82">
              <w:rPr>
                <w:sz w:val="24"/>
              </w:rPr>
              <w:t>unless expressly stated in terms of direct current.</w:t>
            </w:r>
          </w:p>
        </w:tc>
      </w:tr>
      <w:tr w:rsidR="002A5ADE" w14:paraId="317DF18C" w14:textId="77777777" w:rsidTr="009B681F">
        <w:trPr>
          <w:gridAfter w:val="1"/>
          <w:wAfter w:w="180" w:type="dxa"/>
          <w:trHeight w:val="371"/>
        </w:trPr>
        <w:tc>
          <w:tcPr>
            <w:tcW w:w="2044" w:type="dxa"/>
          </w:tcPr>
          <w:p w14:paraId="4A1055A6" w14:textId="77777777" w:rsidR="002A5ADE" w:rsidRPr="00883F82" w:rsidRDefault="002A5ADE" w:rsidP="009B681F">
            <w:pPr>
              <w:pStyle w:val="TableParagraph"/>
              <w:spacing w:before="120" w:after="120"/>
              <w:rPr>
                <w:b/>
                <w:sz w:val="24"/>
              </w:rPr>
            </w:pPr>
          </w:p>
        </w:tc>
        <w:tc>
          <w:tcPr>
            <w:tcW w:w="7018" w:type="dxa"/>
          </w:tcPr>
          <w:p w14:paraId="6FB297FE" w14:textId="77777777" w:rsidR="002A5ADE" w:rsidRPr="00883F82" w:rsidRDefault="002A5ADE" w:rsidP="009B681F">
            <w:pPr>
              <w:pStyle w:val="TableParagraph"/>
              <w:spacing w:before="120" w:after="120"/>
              <w:ind w:left="157" w:right="183"/>
              <w:jc w:val="both"/>
              <w:rPr>
                <w:sz w:val="24"/>
              </w:rPr>
            </w:pPr>
          </w:p>
        </w:tc>
      </w:tr>
    </w:tbl>
    <w:p w14:paraId="47A84E84" w14:textId="77777777" w:rsidR="002A5ADE" w:rsidRDefault="002A5ADE" w:rsidP="002A5ADE">
      <w:pPr>
        <w:rPr>
          <w:rFonts w:ascii="Times New Roman" w:eastAsia="Times New Roman" w:hAnsi="Times New Roman" w:cs="Times New Roman"/>
          <w:sz w:val="24"/>
          <w:szCs w:val="24"/>
        </w:rPr>
      </w:pPr>
    </w:p>
    <w:p w14:paraId="1ED902CF" w14:textId="77777777" w:rsidR="002A5ADE" w:rsidRPr="00883F82" w:rsidRDefault="002A5ADE" w:rsidP="002A5ADE">
      <w:pPr>
        <w:pStyle w:val="ListParagraph"/>
        <w:numPr>
          <w:ilvl w:val="0"/>
          <w:numId w:val="6"/>
        </w:numPr>
        <w:spacing w:after="0" w:line="240" w:lineRule="auto"/>
        <w:ind w:hanging="720"/>
        <w:jc w:val="both"/>
        <w:rPr>
          <w:rFonts w:ascii="Times New Roman" w:hAnsi="Times New Roman"/>
          <w:sz w:val="24"/>
        </w:rPr>
      </w:pPr>
      <w:r w:rsidRPr="00883F82">
        <w:rPr>
          <w:rFonts w:ascii="Times New Roman" w:hAnsi="Times New Roman"/>
          <w:b/>
          <w:sz w:val="24"/>
        </w:rPr>
        <w:t xml:space="preserve">Neither Party Obligated to Enter </w:t>
      </w:r>
      <w:proofErr w:type="gramStart"/>
      <w:r w:rsidRPr="00883F82">
        <w:rPr>
          <w:rFonts w:ascii="Times New Roman" w:hAnsi="Times New Roman"/>
          <w:b/>
          <w:sz w:val="24"/>
        </w:rPr>
        <w:t>Into</w:t>
      </w:r>
      <w:proofErr w:type="gramEnd"/>
      <w:r w:rsidRPr="00883F82">
        <w:rPr>
          <w:rFonts w:ascii="Times New Roman" w:hAnsi="Times New Roman"/>
          <w:b/>
          <w:sz w:val="24"/>
        </w:rPr>
        <w:t xml:space="preserve"> Proposed Transaction</w:t>
      </w:r>
      <w:r w:rsidRPr="00883F82">
        <w:rPr>
          <w:rFonts w:ascii="Times New Roman" w:hAnsi="Times New Roman"/>
          <w:sz w:val="24"/>
        </w:rPr>
        <w:t>. This Term Sheet is intended to provide an overview of the Proposed Transaction and is not intended to constitute a binding contract or an offer to enter into a ESSA with respect to the Proposed Transaction and does not obligate either Party to enter into the Proposed Transaction or execute any agreement, including the ESSA, in connection with the Proposed Transaction. Neither Party will be deemed to have agreed to the ESSA and will not be bound by any term thereof, unless and until authorized representatives of both Parties execute final definitive documents, enforceable in accordance with their terms.</w:t>
      </w:r>
    </w:p>
    <w:p w14:paraId="064D8569" w14:textId="77777777" w:rsidR="002A5ADE" w:rsidRDefault="002A5ADE" w:rsidP="002A5ADE">
      <w:pPr>
        <w:spacing w:after="0" w:line="240" w:lineRule="auto"/>
        <w:ind w:hanging="720"/>
        <w:jc w:val="both"/>
        <w:rPr>
          <w:rFonts w:ascii="Times New Roman" w:eastAsia="Times New Roman" w:hAnsi="Times New Roman" w:cs="Times New Roman"/>
          <w:sz w:val="24"/>
          <w:szCs w:val="24"/>
        </w:rPr>
      </w:pPr>
    </w:p>
    <w:p w14:paraId="6703C830" w14:textId="77777777" w:rsidR="002A5ADE" w:rsidRPr="00883F82" w:rsidRDefault="002A5ADE" w:rsidP="002A5ADE">
      <w:pPr>
        <w:pStyle w:val="ListParagraph"/>
        <w:numPr>
          <w:ilvl w:val="0"/>
          <w:numId w:val="6"/>
        </w:numPr>
        <w:spacing w:after="0" w:line="240" w:lineRule="auto"/>
        <w:ind w:hanging="720"/>
        <w:jc w:val="both"/>
        <w:rPr>
          <w:rFonts w:ascii="Times New Roman" w:hAnsi="Times New Roman"/>
          <w:sz w:val="24"/>
        </w:rPr>
      </w:pPr>
      <w:r w:rsidRPr="00883F82">
        <w:rPr>
          <w:rFonts w:ascii="Times New Roman" w:hAnsi="Times New Roman"/>
          <w:b/>
          <w:sz w:val="24"/>
        </w:rPr>
        <w:t>Other Agreements</w:t>
      </w:r>
      <w:r w:rsidRPr="00883F82">
        <w:rPr>
          <w:rFonts w:ascii="Times New Roman" w:hAnsi="Times New Roman"/>
          <w:sz w:val="24"/>
        </w:rPr>
        <w:t>. In connection with this Term Sheet, Seller shall execute that certain Exclusivity Agreement (“</w:t>
      </w:r>
      <w:r w:rsidRPr="00883F82">
        <w:rPr>
          <w:rFonts w:ascii="Times New Roman" w:hAnsi="Times New Roman"/>
          <w:b/>
          <w:sz w:val="24"/>
          <w:u w:val="single"/>
        </w:rPr>
        <w:t>Exclusivity Agreement</w:t>
      </w:r>
      <w:r w:rsidRPr="00883F82">
        <w:rPr>
          <w:rFonts w:ascii="Times New Roman" w:hAnsi="Times New Roman"/>
          <w:sz w:val="24"/>
        </w:rPr>
        <w:t>”) with Buyer and provide a Shortlist Deposit (as defined in such agreement) of $3</w:t>
      </w:r>
      <w:r>
        <w:rPr>
          <w:rFonts w:ascii="Times New Roman" w:hAnsi="Times New Roman"/>
          <w:sz w:val="24"/>
        </w:rPr>
        <w:t xml:space="preserve"> per KW </w:t>
      </w:r>
      <w:r w:rsidRPr="00883F82">
        <w:rPr>
          <w:rFonts w:ascii="Times New Roman" w:hAnsi="Times New Roman"/>
          <w:sz w:val="24"/>
        </w:rPr>
        <w:t>to Buyer within three (3) Business Days after execution of the Exclusivity Agreement. The Shortlist Deposit will be returned in accordance with, and subject to, the terms of the Exclusivity Agreement.</w:t>
      </w:r>
    </w:p>
    <w:p w14:paraId="1723B860" w14:textId="77777777" w:rsidR="002A5ADE" w:rsidRPr="00883F82" w:rsidRDefault="002A5ADE" w:rsidP="002A5ADE">
      <w:pPr>
        <w:pStyle w:val="ListParagraph"/>
        <w:spacing w:line="240" w:lineRule="auto"/>
        <w:rPr>
          <w:rFonts w:ascii="Times New Roman" w:hAnsi="Times New Roman"/>
          <w:b/>
          <w:sz w:val="24"/>
        </w:rPr>
      </w:pPr>
    </w:p>
    <w:p w14:paraId="5064F3AC" w14:textId="77777777" w:rsidR="002A5ADE" w:rsidRPr="00883F82" w:rsidRDefault="002A5ADE" w:rsidP="002A5ADE">
      <w:pPr>
        <w:pStyle w:val="ListParagraph"/>
        <w:numPr>
          <w:ilvl w:val="0"/>
          <w:numId w:val="6"/>
        </w:numPr>
        <w:spacing w:after="0" w:line="240" w:lineRule="auto"/>
        <w:ind w:hanging="720"/>
        <w:jc w:val="both"/>
        <w:rPr>
          <w:rFonts w:ascii="Times New Roman" w:hAnsi="Times New Roman"/>
          <w:sz w:val="24"/>
        </w:rPr>
      </w:pPr>
      <w:r w:rsidRPr="00883F82">
        <w:rPr>
          <w:rFonts w:ascii="Times New Roman" w:hAnsi="Times New Roman"/>
          <w:b/>
          <w:sz w:val="24"/>
        </w:rPr>
        <w:t>Expenses</w:t>
      </w:r>
      <w:r w:rsidRPr="00883F82">
        <w:rPr>
          <w:rFonts w:ascii="Times New Roman" w:hAnsi="Times New Roman"/>
          <w:sz w:val="24"/>
        </w:rPr>
        <w:t>. Each Party will pay its own costs and expenses (whether internal or out-of-pocket, and whether for legal, financial, technical, or other consultants, or other purposes) in connection with the Term Sheet and any definitive agreements.</w:t>
      </w:r>
    </w:p>
    <w:p w14:paraId="4BE4DB2F" w14:textId="77777777" w:rsidR="002A5ADE" w:rsidRDefault="002A5ADE" w:rsidP="002A5ADE">
      <w:pPr>
        <w:spacing w:after="0" w:line="240" w:lineRule="auto"/>
        <w:ind w:hanging="720"/>
        <w:jc w:val="both"/>
        <w:rPr>
          <w:rFonts w:ascii="Times New Roman" w:eastAsia="Times New Roman" w:hAnsi="Times New Roman" w:cs="Times New Roman"/>
          <w:sz w:val="24"/>
          <w:szCs w:val="24"/>
        </w:rPr>
      </w:pPr>
    </w:p>
    <w:p w14:paraId="25B981C7" w14:textId="77777777" w:rsidR="002A5ADE" w:rsidRPr="00883F82" w:rsidRDefault="002A5ADE" w:rsidP="002A5ADE">
      <w:pPr>
        <w:pStyle w:val="ListParagraph"/>
        <w:numPr>
          <w:ilvl w:val="0"/>
          <w:numId w:val="6"/>
        </w:numPr>
        <w:spacing w:after="0" w:line="240" w:lineRule="auto"/>
        <w:ind w:hanging="720"/>
        <w:jc w:val="both"/>
        <w:rPr>
          <w:rFonts w:ascii="Times New Roman" w:hAnsi="Times New Roman"/>
          <w:sz w:val="24"/>
        </w:rPr>
      </w:pPr>
      <w:r w:rsidRPr="00883F82">
        <w:rPr>
          <w:rFonts w:ascii="Times New Roman" w:hAnsi="Times New Roman"/>
          <w:b/>
          <w:sz w:val="24"/>
        </w:rPr>
        <w:t>Termination</w:t>
      </w:r>
      <w:r w:rsidRPr="00883F82">
        <w:rPr>
          <w:rFonts w:ascii="Times New Roman" w:hAnsi="Times New Roman"/>
          <w:sz w:val="24"/>
        </w:rPr>
        <w:t>. This Term Sheet will terminate upon the earlier of (a) execution of the ESSA or (b) expiration of the Exclusivity Period (as defined in the Exclusivity Agreement), as such Exclusivity Period may be extended by the Parties in accordance with the Exclusivity Agreement.</w:t>
      </w:r>
    </w:p>
    <w:p w14:paraId="58B471C1" w14:textId="77777777" w:rsidR="002A5ADE" w:rsidRPr="00883F82" w:rsidRDefault="002A5ADE" w:rsidP="002A5ADE">
      <w:pPr>
        <w:pStyle w:val="ListParagraph"/>
        <w:spacing w:line="240" w:lineRule="auto"/>
        <w:jc w:val="both"/>
        <w:rPr>
          <w:rFonts w:ascii="Times New Roman" w:hAnsi="Times New Roman"/>
          <w:sz w:val="24"/>
        </w:rPr>
      </w:pPr>
    </w:p>
    <w:p w14:paraId="1D7CD760" w14:textId="77777777" w:rsidR="002A5ADE" w:rsidRPr="00883F82" w:rsidRDefault="002A5ADE" w:rsidP="002A5ADE">
      <w:pPr>
        <w:pStyle w:val="ListParagraph"/>
        <w:numPr>
          <w:ilvl w:val="0"/>
          <w:numId w:val="6"/>
        </w:numPr>
        <w:spacing w:after="0" w:line="240" w:lineRule="auto"/>
        <w:ind w:hanging="720"/>
        <w:jc w:val="both"/>
        <w:rPr>
          <w:rFonts w:ascii="Times New Roman" w:hAnsi="Times New Roman"/>
          <w:sz w:val="24"/>
        </w:rPr>
      </w:pPr>
      <w:r w:rsidRPr="00883F82">
        <w:rPr>
          <w:rFonts w:ascii="Times New Roman" w:hAnsi="Times New Roman"/>
          <w:b/>
          <w:sz w:val="24"/>
        </w:rPr>
        <w:t>Governing Law</w:t>
      </w:r>
      <w:r w:rsidRPr="00883F82">
        <w:rPr>
          <w:rFonts w:ascii="Times New Roman" w:hAnsi="Times New Roman"/>
          <w:sz w:val="24"/>
        </w:rPr>
        <w:t>. This Term Sheet is governed by, and construed in accordance with, the laws of the State of California.</w:t>
      </w:r>
    </w:p>
    <w:p w14:paraId="595F44AE" w14:textId="77777777" w:rsidR="002A5ADE" w:rsidRDefault="002A5ADE" w:rsidP="002A5ADE">
      <w:pPr>
        <w:spacing w:after="0" w:line="240" w:lineRule="auto"/>
        <w:ind w:hanging="720"/>
        <w:jc w:val="both"/>
        <w:rPr>
          <w:rFonts w:ascii="Times New Roman" w:eastAsia="Times New Roman" w:hAnsi="Times New Roman" w:cs="Times New Roman"/>
          <w:sz w:val="24"/>
          <w:szCs w:val="24"/>
        </w:rPr>
      </w:pPr>
    </w:p>
    <w:p w14:paraId="36DABA01" w14:textId="77777777" w:rsidR="002A5ADE" w:rsidRPr="00883F82" w:rsidRDefault="002A5ADE" w:rsidP="002A5ADE">
      <w:pPr>
        <w:pStyle w:val="ListParagraph"/>
        <w:numPr>
          <w:ilvl w:val="0"/>
          <w:numId w:val="6"/>
        </w:numPr>
        <w:spacing w:after="0" w:line="240" w:lineRule="auto"/>
        <w:ind w:hanging="720"/>
        <w:jc w:val="both"/>
        <w:rPr>
          <w:rFonts w:ascii="Times New Roman" w:hAnsi="Times New Roman"/>
          <w:sz w:val="24"/>
        </w:rPr>
      </w:pPr>
      <w:r w:rsidRPr="00883F82">
        <w:rPr>
          <w:rFonts w:ascii="Times New Roman" w:hAnsi="Times New Roman"/>
          <w:b/>
          <w:sz w:val="24"/>
        </w:rPr>
        <w:t>Counterparts</w:t>
      </w:r>
      <w:r w:rsidRPr="00883F82">
        <w:rPr>
          <w:rFonts w:ascii="Times New Roman" w:hAnsi="Times New Roman"/>
          <w:sz w:val="24"/>
        </w:rPr>
        <w:t xml:space="preserve">. This Term Sheet may be executed in counterparts, each of which will be enforceable against the Parties </w:t>
      </w:r>
      <w:proofErr w:type="gramStart"/>
      <w:r w:rsidRPr="00883F82">
        <w:rPr>
          <w:rFonts w:ascii="Times New Roman" w:hAnsi="Times New Roman"/>
          <w:sz w:val="24"/>
        </w:rPr>
        <w:t>actually executing</w:t>
      </w:r>
      <w:proofErr w:type="gramEnd"/>
      <w:r w:rsidRPr="00883F82">
        <w:rPr>
          <w:rFonts w:ascii="Times New Roman" w:hAnsi="Times New Roman"/>
          <w:sz w:val="24"/>
        </w:rPr>
        <w:t xml:space="preserve"> such counterparts, and all of which together will constitute one instrument. Delivery of an executed signature page of this Term Sheet by email transmission of a PDF image shall be the same as delivery of an original executed signature page.</w:t>
      </w:r>
    </w:p>
    <w:p w14:paraId="001E7655" w14:textId="77777777" w:rsidR="002A5ADE" w:rsidRDefault="002A5ADE" w:rsidP="002A5ADE">
      <w:pPr>
        <w:spacing w:after="0" w:line="240" w:lineRule="auto"/>
        <w:rPr>
          <w:rFonts w:ascii="Times New Roman" w:eastAsia="Times New Roman" w:hAnsi="Times New Roman" w:cs="Times New Roman"/>
          <w:sz w:val="24"/>
          <w:szCs w:val="24"/>
        </w:rPr>
      </w:pPr>
    </w:p>
    <w:p w14:paraId="2BAE56AC" w14:textId="77777777" w:rsidR="002A5ADE" w:rsidRPr="00883F82" w:rsidRDefault="002A5ADE" w:rsidP="002A5ADE">
      <w:pPr>
        <w:pStyle w:val="ListParagraph"/>
        <w:numPr>
          <w:ilvl w:val="0"/>
          <w:numId w:val="6"/>
        </w:numPr>
        <w:spacing w:after="0" w:line="240" w:lineRule="auto"/>
        <w:ind w:hanging="720"/>
        <w:jc w:val="both"/>
        <w:rPr>
          <w:rFonts w:ascii="Times New Roman" w:hAnsi="Times New Roman"/>
          <w:sz w:val="24"/>
        </w:rPr>
      </w:pPr>
      <w:r w:rsidRPr="00883F82">
        <w:rPr>
          <w:rFonts w:ascii="Times New Roman" w:hAnsi="Times New Roman"/>
          <w:b/>
          <w:sz w:val="24"/>
        </w:rPr>
        <w:t>Prior Agreements</w:t>
      </w:r>
      <w:r w:rsidRPr="00883F82">
        <w:rPr>
          <w:rFonts w:ascii="Times New Roman" w:hAnsi="Times New Roman"/>
          <w:sz w:val="24"/>
        </w:rPr>
        <w:t>. This Term Sheet supersedes all prior communications and agreements, oral or written, between the Parties regarding the subject matter herein contemplated.</w:t>
      </w:r>
    </w:p>
    <w:p w14:paraId="5A3FDC60" w14:textId="77777777" w:rsidR="002A5ADE" w:rsidRDefault="002A5ADE" w:rsidP="002A5ADE">
      <w:pPr>
        <w:spacing w:after="0" w:line="240" w:lineRule="auto"/>
        <w:ind w:hanging="720"/>
        <w:jc w:val="both"/>
        <w:rPr>
          <w:rFonts w:ascii="Times New Roman" w:eastAsia="Times New Roman" w:hAnsi="Times New Roman" w:cs="Times New Roman"/>
          <w:sz w:val="24"/>
          <w:szCs w:val="24"/>
        </w:rPr>
      </w:pPr>
    </w:p>
    <w:p w14:paraId="5EF63992" w14:textId="77777777" w:rsidR="002A5ADE" w:rsidRPr="00883F82" w:rsidRDefault="002A5ADE" w:rsidP="002A5ADE">
      <w:pPr>
        <w:pStyle w:val="ListParagraph"/>
        <w:numPr>
          <w:ilvl w:val="0"/>
          <w:numId w:val="6"/>
        </w:numPr>
        <w:spacing w:after="0" w:line="240" w:lineRule="auto"/>
        <w:ind w:hanging="720"/>
        <w:jc w:val="both"/>
        <w:rPr>
          <w:rFonts w:ascii="Times New Roman" w:hAnsi="Times New Roman"/>
          <w:sz w:val="24"/>
        </w:rPr>
      </w:pPr>
      <w:r w:rsidRPr="00883F82">
        <w:rPr>
          <w:rFonts w:ascii="Times New Roman" w:hAnsi="Times New Roman"/>
          <w:b/>
          <w:sz w:val="24"/>
        </w:rPr>
        <w:t>Assignment</w:t>
      </w:r>
      <w:r w:rsidRPr="00883F82">
        <w:rPr>
          <w:rFonts w:ascii="Times New Roman" w:hAnsi="Times New Roman"/>
          <w:sz w:val="24"/>
        </w:rPr>
        <w:t>. This Term Sheet will be binding upon and inure to the benefit of the Parties and their respective successors and permitted assigns. Neither Party will assign, pledge or otherwise transfer this Term Sheet or any right or obligation under this Term Sheet without first obtaining the other Party’s prior written consent (which consent will not be unreasonably withheld, delayed, or encumbered).</w:t>
      </w:r>
    </w:p>
    <w:p w14:paraId="270B890E" w14:textId="77777777" w:rsidR="002A5ADE" w:rsidRDefault="002A5ADE" w:rsidP="002A5ADE">
      <w:pPr>
        <w:spacing w:after="0" w:line="240" w:lineRule="auto"/>
        <w:ind w:hanging="720"/>
        <w:jc w:val="both"/>
        <w:rPr>
          <w:rFonts w:ascii="Times New Roman" w:eastAsia="Times New Roman" w:hAnsi="Times New Roman" w:cs="Times New Roman"/>
          <w:sz w:val="24"/>
          <w:szCs w:val="24"/>
        </w:rPr>
      </w:pPr>
    </w:p>
    <w:p w14:paraId="0095B0F6" w14:textId="77777777" w:rsidR="002A5ADE" w:rsidRPr="00883F82" w:rsidRDefault="002A5ADE" w:rsidP="002A5ADE">
      <w:pPr>
        <w:pStyle w:val="ListParagraph"/>
        <w:numPr>
          <w:ilvl w:val="0"/>
          <w:numId w:val="6"/>
        </w:numPr>
        <w:spacing w:after="0" w:line="240" w:lineRule="auto"/>
        <w:ind w:hanging="720"/>
        <w:jc w:val="both"/>
        <w:rPr>
          <w:rFonts w:ascii="Times New Roman" w:hAnsi="Times New Roman"/>
          <w:sz w:val="24"/>
        </w:rPr>
      </w:pPr>
      <w:r w:rsidRPr="00883F82">
        <w:rPr>
          <w:rFonts w:ascii="Times New Roman" w:hAnsi="Times New Roman"/>
          <w:b/>
          <w:sz w:val="24"/>
        </w:rPr>
        <w:t>No Consequential Damages</w:t>
      </w:r>
      <w:r w:rsidRPr="00883F82">
        <w:rPr>
          <w:rFonts w:ascii="Times New Roman" w:hAnsi="Times New Roman"/>
          <w:sz w:val="24"/>
        </w:rPr>
        <w:t>. IN NO EVENT SHALL EITHER PARTY, ITS AFFILIATES AND/OR REPRESENTATIVES BE LIABLE FOR ANY LOST OR PROSPECTIVE PROFITS OR ANY OTHER CONSEQUENTIAL, INCIDENTAL, SPECIAL, PUNITIVE, INDIRECT OR EXEMPLARY DAMAGES UNDER OR IN RESPECT TO THIS TERM SHEET.</w:t>
      </w:r>
    </w:p>
    <w:p w14:paraId="09B27CCD" w14:textId="77777777" w:rsidR="002A5ADE" w:rsidRPr="00883F82" w:rsidRDefault="002A5ADE" w:rsidP="002A5ADE">
      <w:pPr>
        <w:pStyle w:val="ListParagraph"/>
        <w:spacing w:after="0" w:line="240" w:lineRule="auto"/>
        <w:jc w:val="both"/>
        <w:rPr>
          <w:rFonts w:ascii="Times New Roman" w:hAnsi="Times New Roman"/>
          <w:sz w:val="24"/>
        </w:rPr>
      </w:pPr>
    </w:p>
    <w:p w14:paraId="1F6A7721" w14:textId="77777777" w:rsidR="002A5ADE" w:rsidRDefault="002A5ADE" w:rsidP="002A5ADE">
      <w:pPr>
        <w:spacing w:line="240" w:lineRule="auto"/>
        <w:rPr>
          <w:rFonts w:ascii="Times New Roman" w:hAnsi="Times New Roman" w:cs="Times New Roman"/>
          <w:sz w:val="24"/>
          <w:szCs w:val="24"/>
        </w:rPr>
      </w:pPr>
    </w:p>
    <w:p w14:paraId="5268E3DF" w14:textId="77777777" w:rsidR="002A5ADE" w:rsidRDefault="002A5ADE" w:rsidP="002A5ADE">
      <w:pPr>
        <w:spacing w:line="240" w:lineRule="auto"/>
        <w:rPr>
          <w:rFonts w:ascii="Times New Roman" w:hAnsi="Times New Roman" w:cs="Times New Roman"/>
          <w:sz w:val="24"/>
          <w:szCs w:val="24"/>
        </w:rPr>
      </w:pPr>
    </w:p>
    <w:p w14:paraId="1CFAD105" w14:textId="77777777" w:rsidR="002A5ADE" w:rsidRDefault="002A5ADE" w:rsidP="002A5ADE">
      <w:pPr>
        <w:spacing w:line="240" w:lineRule="auto"/>
        <w:rPr>
          <w:rFonts w:ascii="Times New Roman" w:hAnsi="Times New Roman" w:cs="Times New Roman"/>
          <w:sz w:val="24"/>
          <w:szCs w:val="24"/>
        </w:rPr>
      </w:pPr>
    </w:p>
    <w:p w14:paraId="5D31774B" w14:textId="77777777" w:rsidR="002A5ADE" w:rsidRDefault="002A5ADE" w:rsidP="002A5ADE">
      <w:pPr>
        <w:spacing w:line="240" w:lineRule="auto"/>
        <w:rPr>
          <w:rFonts w:ascii="Times New Roman" w:hAnsi="Times New Roman" w:cs="Times New Roman"/>
          <w:sz w:val="24"/>
          <w:szCs w:val="24"/>
        </w:rPr>
      </w:pPr>
    </w:p>
    <w:p w14:paraId="4DBA6737" w14:textId="77777777" w:rsidR="002A5ADE" w:rsidRDefault="002A5ADE" w:rsidP="002A5A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WITNESS WHEREOF, the Parties have signed this Term Sheet effective as of the Effective Date.</w:t>
      </w:r>
    </w:p>
    <w:p w14:paraId="03168333" w14:textId="77777777" w:rsidR="002A5ADE" w:rsidRPr="00883F82" w:rsidRDefault="002A5ADE" w:rsidP="002A5ADE">
      <w:pPr>
        <w:pStyle w:val="ListParagraph"/>
        <w:jc w:val="center"/>
        <w:rPr>
          <w:rFonts w:ascii="Times New Roman" w:hAnsi="Times New Roman"/>
        </w:rPr>
      </w:pPr>
    </w:p>
    <w:p w14:paraId="11B3E351" w14:textId="77777777" w:rsidR="002A5ADE" w:rsidRDefault="002A5ADE" w:rsidP="002A5ADE">
      <w:pPr>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A5ADE" w14:paraId="6E565DC6" w14:textId="77777777" w:rsidTr="009B681F">
        <w:tc>
          <w:tcPr>
            <w:tcW w:w="4675" w:type="dxa"/>
          </w:tcPr>
          <w:p w14:paraId="3D245F36" w14:textId="77777777" w:rsidR="002A5ADE" w:rsidRPr="00F75C35" w:rsidRDefault="002A5ADE" w:rsidP="009B681F">
            <w:pPr>
              <w:rPr>
                <w:rFonts w:ascii="Times New Roman" w:hAnsi="Times New Roman" w:cs="Times New Roman"/>
                <w:b/>
                <w:sz w:val="24"/>
                <w:szCs w:val="24"/>
              </w:rPr>
            </w:pPr>
            <w:r w:rsidRPr="00F75C35">
              <w:rPr>
                <w:rFonts w:ascii="Times New Roman" w:hAnsi="Times New Roman" w:cs="Times New Roman"/>
                <w:b/>
                <w:sz w:val="24"/>
                <w:szCs w:val="24"/>
              </w:rPr>
              <w:t>[</w:t>
            </w:r>
            <w:r w:rsidRPr="00F75C35">
              <w:rPr>
                <w:rFonts w:ascii="Times New Roman" w:hAnsi="Times New Roman" w:cs="Times New Roman"/>
                <w:b/>
                <w:i/>
                <w:iCs/>
                <w:sz w:val="24"/>
                <w:szCs w:val="24"/>
                <w:highlight w:val="lightGray"/>
              </w:rPr>
              <w:t>JOINT CCAS/BUYER</w:t>
            </w:r>
            <w:r w:rsidRPr="00F75C35">
              <w:rPr>
                <w:rFonts w:ascii="Times New Roman" w:hAnsi="Times New Roman" w:cs="Times New Roman"/>
                <w:b/>
                <w:sz w:val="24"/>
                <w:szCs w:val="24"/>
              </w:rPr>
              <w:t>]</w:t>
            </w:r>
          </w:p>
          <w:p w14:paraId="376581B8" w14:textId="77777777" w:rsidR="002A5ADE" w:rsidRDefault="002A5ADE" w:rsidP="009B681F">
            <w:pPr>
              <w:rPr>
                <w:rFonts w:ascii="Times New Roman" w:eastAsia="Times New Roman" w:hAnsi="Times New Roman" w:cs="Times New Roman"/>
                <w:sz w:val="24"/>
                <w:szCs w:val="24"/>
              </w:rPr>
            </w:pPr>
          </w:p>
        </w:tc>
        <w:tc>
          <w:tcPr>
            <w:tcW w:w="4675" w:type="dxa"/>
          </w:tcPr>
          <w:p w14:paraId="4C2E4749" w14:textId="77777777" w:rsidR="002A5ADE" w:rsidRDefault="002A5ADE" w:rsidP="009B681F">
            <w:pPr>
              <w:tabs>
                <w:tab w:val="left" w:pos="-720"/>
              </w:tabs>
              <w:suppressAutoHyphens/>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highlight w:val="lightGray"/>
              </w:rPr>
              <w:t>RESPONDENT/SELLER</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26719463" w14:textId="77777777" w:rsidR="002A5ADE" w:rsidRDefault="002A5ADE" w:rsidP="009B681F">
            <w:pPr>
              <w:rPr>
                <w:rFonts w:ascii="Times New Roman" w:eastAsia="Times New Roman" w:hAnsi="Times New Roman" w:cs="Times New Roman"/>
                <w:sz w:val="24"/>
                <w:szCs w:val="24"/>
              </w:rPr>
            </w:pPr>
          </w:p>
        </w:tc>
      </w:tr>
      <w:tr w:rsidR="002A5ADE" w14:paraId="6BEB561C" w14:textId="77777777" w:rsidTr="009B681F">
        <w:tc>
          <w:tcPr>
            <w:tcW w:w="4675" w:type="dxa"/>
          </w:tcPr>
          <w:p w14:paraId="02585D89" w14:textId="77777777" w:rsidR="002A5ADE" w:rsidRDefault="002A5ADE" w:rsidP="009B681F">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By:</w:t>
            </w:r>
            <w:r w:rsidRPr="00883F82">
              <w:rPr>
                <w:rFonts w:ascii="Times New Roman" w:hAnsi="Times New Roman"/>
                <w:spacing w:val="-3"/>
                <w:sz w:val="24"/>
              </w:rPr>
              <w:tab/>
              <w:t>___________________________</w:t>
            </w:r>
          </w:p>
          <w:p w14:paraId="1308F3C4" w14:textId="77777777" w:rsidR="002A5ADE" w:rsidRDefault="002A5ADE" w:rsidP="009B681F">
            <w:pPr>
              <w:rPr>
                <w:rFonts w:ascii="Times New Roman" w:eastAsia="Times New Roman" w:hAnsi="Times New Roman" w:cs="Times New Roman"/>
                <w:sz w:val="24"/>
                <w:szCs w:val="24"/>
              </w:rPr>
            </w:pPr>
          </w:p>
          <w:p w14:paraId="597C5303" w14:textId="77777777" w:rsidR="002A5ADE" w:rsidRDefault="002A5ADE" w:rsidP="009B681F">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Printed Name:</w:t>
            </w:r>
            <w:r w:rsidRPr="00883F82">
              <w:rPr>
                <w:rFonts w:ascii="Times New Roman" w:hAnsi="Times New Roman"/>
                <w:spacing w:val="-3"/>
                <w:sz w:val="24"/>
              </w:rPr>
              <w:tab/>
              <w:t>_____________________</w:t>
            </w:r>
          </w:p>
          <w:p w14:paraId="11897C66" w14:textId="77777777" w:rsidR="002A5ADE" w:rsidRDefault="002A5ADE" w:rsidP="009B681F">
            <w:pPr>
              <w:rPr>
                <w:rFonts w:ascii="Times New Roman" w:eastAsia="Times New Roman" w:hAnsi="Times New Roman" w:cs="Times New Roman"/>
                <w:sz w:val="24"/>
                <w:szCs w:val="24"/>
              </w:rPr>
            </w:pPr>
          </w:p>
          <w:p w14:paraId="62761484" w14:textId="77777777" w:rsidR="002A5ADE" w:rsidRDefault="002A5ADE" w:rsidP="009B681F">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Title:</w:t>
            </w:r>
            <w:r w:rsidRPr="00883F82">
              <w:rPr>
                <w:rFonts w:ascii="Times New Roman" w:hAnsi="Times New Roman"/>
                <w:spacing w:val="-3"/>
                <w:sz w:val="24"/>
              </w:rPr>
              <w:tab/>
              <w:t>___________________________</w:t>
            </w:r>
          </w:p>
        </w:tc>
        <w:tc>
          <w:tcPr>
            <w:tcW w:w="4675" w:type="dxa"/>
          </w:tcPr>
          <w:p w14:paraId="66FE0662" w14:textId="77777777" w:rsidR="002A5ADE" w:rsidRDefault="002A5ADE" w:rsidP="009B681F">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By:</w:t>
            </w:r>
            <w:r w:rsidRPr="00883F82">
              <w:rPr>
                <w:rFonts w:ascii="Times New Roman" w:hAnsi="Times New Roman"/>
                <w:spacing w:val="-3"/>
                <w:sz w:val="24"/>
              </w:rPr>
              <w:tab/>
              <w:t>___________________________</w:t>
            </w:r>
          </w:p>
          <w:p w14:paraId="3A47D629" w14:textId="77777777" w:rsidR="002A5ADE" w:rsidRDefault="002A5ADE" w:rsidP="009B681F">
            <w:pPr>
              <w:rPr>
                <w:rFonts w:ascii="Times New Roman" w:eastAsia="Times New Roman" w:hAnsi="Times New Roman" w:cs="Times New Roman"/>
                <w:sz w:val="24"/>
                <w:szCs w:val="24"/>
              </w:rPr>
            </w:pPr>
          </w:p>
          <w:p w14:paraId="70EFC6B2" w14:textId="77777777" w:rsidR="002A5ADE" w:rsidRDefault="002A5ADE" w:rsidP="009B681F">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Printed Name:</w:t>
            </w:r>
            <w:r w:rsidRPr="00883F82">
              <w:rPr>
                <w:rFonts w:ascii="Times New Roman" w:hAnsi="Times New Roman"/>
                <w:spacing w:val="-3"/>
                <w:sz w:val="24"/>
              </w:rPr>
              <w:tab/>
              <w:t>_____________________</w:t>
            </w:r>
          </w:p>
          <w:p w14:paraId="39A698C5" w14:textId="77777777" w:rsidR="002A5ADE" w:rsidRDefault="002A5ADE" w:rsidP="009B681F">
            <w:pPr>
              <w:rPr>
                <w:rFonts w:ascii="Times New Roman" w:eastAsia="Times New Roman" w:hAnsi="Times New Roman" w:cs="Times New Roman"/>
                <w:sz w:val="24"/>
                <w:szCs w:val="24"/>
              </w:rPr>
            </w:pPr>
          </w:p>
          <w:p w14:paraId="473F8C04" w14:textId="77777777" w:rsidR="002A5ADE" w:rsidRDefault="002A5ADE" w:rsidP="009B681F">
            <w:pPr>
              <w:rPr>
                <w:rFonts w:ascii="Times New Roman" w:eastAsia="Times New Roman" w:hAnsi="Times New Roman" w:cs="Times New Roman"/>
                <w:sz w:val="24"/>
                <w:szCs w:val="24"/>
              </w:rPr>
            </w:pPr>
            <w:r w:rsidRPr="00883F82">
              <w:rPr>
                <w:rFonts w:ascii="Times New Roman" w:hAnsi="Times New Roman"/>
                <w:spacing w:val="-3"/>
                <w:sz w:val="24"/>
              </w:rPr>
              <w:t>Title:</w:t>
            </w:r>
            <w:r w:rsidRPr="00883F82">
              <w:rPr>
                <w:rFonts w:ascii="Times New Roman" w:hAnsi="Times New Roman"/>
                <w:spacing w:val="-3"/>
                <w:sz w:val="24"/>
              </w:rPr>
              <w:tab/>
              <w:t>___________________________</w:t>
            </w:r>
          </w:p>
        </w:tc>
      </w:tr>
    </w:tbl>
    <w:p w14:paraId="3E535626" w14:textId="77777777" w:rsidR="002A5ADE" w:rsidRDefault="002A5ADE" w:rsidP="002A5ADE">
      <w:pPr>
        <w:pStyle w:val="Heading1"/>
        <w:numPr>
          <w:ilvl w:val="6"/>
          <w:numId w:val="1"/>
        </w:numPr>
        <w:spacing w:after="120" w:line="256" w:lineRule="auto"/>
        <w:rPr>
          <w:rFonts w:ascii="Verdana" w:eastAsia="Verdana" w:hAnsi="Verdana" w:cs="Verdana"/>
          <w:color w:val="01426A"/>
          <w:sz w:val="28"/>
          <w:szCs w:val="28"/>
        </w:rPr>
      </w:pPr>
      <w:bookmarkStart w:id="4" w:name="_heading=h.3as4poj" w:colFirst="0" w:colLast="0"/>
      <w:bookmarkStart w:id="5" w:name="_Ref50228173"/>
      <w:bookmarkEnd w:id="4"/>
      <w:r w:rsidRPr="00883F82">
        <w:rPr>
          <w:rFonts w:ascii="Verdana" w:hAnsi="Verdana"/>
          <w:color w:val="01426A"/>
          <w:sz w:val="28"/>
        </w:rPr>
        <w:br w:type="page"/>
      </w:r>
    </w:p>
    <w:bookmarkEnd w:id="5"/>
    <w:p w14:paraId="069688AA" w14:textId="77777777" w:rsidR="00A116EB" w:rsidRDefault="00A116EB"/>
    <w:sectPr w:rsidR="00A116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9695" w14:textId="77777777" w:rsidR="00E064E4" w:rsidRDefault="00E064E4" w:rsidP="002A5ADE">
      <w:pPr>
        <w:spacing w:after="0" w:line="240" w:lineRule="auto"/>
      </w:pPr>
      <w:r>
        <w:separator/>
      </w:r>
    </w:p>
  </w:endnote>
  <w:endnote w:type="continuationSeparator" w:id="0">
    <w:p w14:paraId="5EA023F6" w14:textId="77777777" w:rsidR="00E064E4" w:rsidRDefault="00E064E4" w:rsidP="002A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BEE1" w14:textId="77777777" w:rsidR="00E064E4" w:rsidRDefault="00E064E4" w:rsidP="002A5ADE">
      <w:pPr>
        <w:spacing w:after="0" w:line="240" w:lineRule="auto"/>
      </w:pPr>
      <w:r>
        <w:separator/>
      </w:r>
    </w:p>
  </w:footnote>
  <w:footnote w:type="continuationSeparator" w:id="0">
    <w:p w14:paraId="517155B9" w14:textId="77777777" w:rsidR="00E064E4" w:rsidRDefault="00E064E4" w:rsidP="002A5ADE">
      <w:pPr>
        <w:spacing w:after="0" w:line="240" w:lineRule="auto"/>
      </w:pPr>
      <w:r>
        <w:continuationSeparator/>
      </w:r>
    </w:p>
  </w:footnote>
  <w:footnote w:id="1">
    <w:p w14:paraId="1E1CD1E3" w14:textId="77777777" w:rsidR="002A5ADE" w:rsidRDefault="002A5ADE" w:rsidP="002A5ADE">
      <w:pPr>
        <w:pStyle w:val="FootnoteText"/>
      </w:pPr>
      <w:r>
        <w:rPr>
          <w:rStyle w:val="FootnoteReference"/>
        </w:rPr>
        <w:footnoteRef/>
      </w:r>
      <w:r>
        <w:t xml:space="preserve"> This language is applicable if San Jose is the Buyer.</w:t>
      </w:r>
    </w:p>
  </w:footnote>
  <w:footnote w:id="2">
    <w:p w14:paraId="52ACC263" w14:textId="77777777" w:rsidR="002A5ADE" w:rsidRDefault="002A5ADE" w:rsidP="002A5ADE">
      <w:pPr>
        <w:pStyle w:val="FootnoteText"/>
      </w:pPr>
      <w:r>
        <w:rPr>
          <w:rStyle w:val="FootnoteReference"/>
        </w:rPr>
        <w:footnoteRef/>
      </w:r>
      <w:r>
        <w:t xml:space="preserve"> This language is applicable if the Buyer is either the new JPA or a CCA that is a JPA.</w:t>
      </w:r>
    </w:p>
  </w:footnote>
  <w:footnote w:id="3">
    <w:p w14:paraId="48AA3066" w14:textId="77777777" w:rsidR="002A5ADE" w:rsidRDefault="002A5ADE" w:rsidP="002A5ADE">
      <w:pPr>
        <w:pStyle w:val="FootnoteText"/>
      </w:pPr>
      <w:r>
        <w:rPr>
          <w:rStyle w:val="FootnoteReference"/>
        </w:rPr>
        <w:footnoteRef/>
      </w:r>
      <w:r>
        <w:t xml:space="preserve"> This language is applicable if San Jose is the Buyer.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2024"/>
    <w:multiLevelType w:val="multilevel"/>
    <w:tmpl w:val="B04E35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8"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97B3C34"/>
    <w:multiLevelType w:val="hybridMultilevel"/>
    <w:tmpl w:val="A838E88C"/>
    <w:lvl w:ilvl="0" w:tplc="F608228E">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EC4ABB"/>
    <w:multiLevelType w:val="hybridMultilevel"/>
    <w:tmpl w:val="167C0E5C"/>
    <w:lvl w:ilvl="0" w:tplc="597A0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3732E"/>
    <w:multiLevelType w:val="hybridMultilevel"/>
    <w:tmpl w:val="F4969F82"/>
    <w:lvl w:ilvl="0" w:tplc="D16CC18E">
      <w:start w:val="1"/>
      <w:numFmt w:val="lowerRoman"/>
      <w:lvlText w:val="(%1)"/>
      <w:lvlJc w:val="left"/>
      <w:pPr>
        <w:ind w:left="877" w:hanging="360"/>
      </w:pPr>
      <w:rPr>
        <w:rFonts w:ascii="Times New Roman" w:eastAsia="Times New Roman" w:hAnsi="Times New Roman" w:cs="Times New Roman" w:hint="default"/>
        <w:w w:val="100"/>
        <w:sz w:val="24"/>
        <w:szCs w:val="24"/>
        <w:lang w:val="en-US" w:eastAsia="en-US" w:bidi="en-US"/>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 w15:restartNumberingAfterBreak="0">
    <w:nsid w:val="5E912515"/>
    <w:multiLevelType w:val="hybridMultilevel"/>
    <w:tmpl w:val="C26E77C2"/>
    <w:lvl w:ilvl="0" w:tplc="D20EEA06">
      <w:start w:val="1"/>
      <w:numFmt w:val="lowerRoman"/>
      <w:lvlText w:val="(%1)"/>
      <w:lvlJc w:val="left"/>
      <w:pPr>
        <w:ind w:left="1187" w:hanging="720"/>
      </w:pPr>
      <w:rPr>
        <w:rFonts w:ascii="Times New Roman" w:eastAsia="Times New Roman" w:hAnsi="Times New Roman" w:cs="Times New Roman" w:hint="default"/>
        <w:w w:val="100"/>
        <w:sz w:val="22"/>
        <w:szCs w:val="22"/>
        <w:lang w:val="en-US" w:eastAsia="en-US" w:bidi="en-US"/>
      </w:rPr>
    </w:lvl>
    <w:lvl w:ilvl="1" w:tplc="9E8015C8">
      <w:numFmt w:val="bullet"/>
      <w:lvlText w:val="•"/>
      <w:lvlJc w:val="left"/>
      <w:pPr>
        <w:ind w:left="1679" w:hanging="720"/>
      </w:pPr>
      <w:rPr>
        <w:rFonts w:hint="default"/>
        <w:lang w:val="en-US" w:eastAsia="en-US" w:bidi="en-US"/>
      </w:rPr>
    </w:lvl>
    <w:lvl w:ilvl="2" w:tplc="DA404264">
      <w:numFmt w:val="bullet"/>
      <w:lvlText w:val="•"/>
      <w:lvlJc w:val="left"/>
      <w:pPr>
        <w:ind w:left="2179" w:hanging="720"/>
      </w:pPr>
      <w:rPr>
        <w:rFonts w:hint="default"/>
        <w:lang w:val="en-US" w:eastAsia="en-US" w:bidi="en-US"/>
      </w:rPr>
    </w:lvl>
    <w:lvl w:ilvl="3" w:tplc="505652BC">
      <w:numFmt w:val="bullet"/>
      <w:lvlText w:val="•"/>
      <w:lvlJc w:val="left"/>
      <w:pPr>
        <w:ind w:left="2678" w:hanging="720"/>
      </w:pPr>
      <w:rPr>
        <w:rFonts w:hint="default"/>
        <w:lang w:val="en-US" w:eastAsia="en-US" w:bidi="en-US"/>
      </w:rPr>
    </w:lvl>
    <w:lvl w:ilvl="4" w:tplc="79AAFF1C">
      <w:numFmt w:val="bullet"/>
      <w:lvlText w:val="•"/>
      <w:lvlJc w:val="left"/>
      <w:pPr>
        <w:ind w:left="3178" w:hanging="720"/>
      </w:pPr>
      <w:rPr>
        <w:rFonts w:hint="default"/>
        <w:lang w:val="en-US" w:eastAsia="en-US" w:bidi="en-US"/>
      </w:rPr>
    </w:lvl>
    <w:lvl w:ilvl="5" w:tplc="6A500D8A">
      <w:numFmt w:val="bullet"/>
      <w:lvlText w:val="•"/>
      <w:lvlJc w:val="left"/>
      <w:pPr>
        <w:ind w:left="3677" w:hanging="720"/>
      </w:pPr>
      <w:rPr>
        <w:rFonts w:hint="default"/>
        <w:lang w:val="en-US" w:eastAsia="en-US" w:bidi="en-US"/>
      </w:rPr>
    </w:lvl>
    <w:lvl w:ilvl="6" w:tplc="BB4E46C6">
      <w:numFmt w:val="bullet"/>
      <w:lvlText w:val="•"/>
      <w:lvlJc w:val="left"/>
      <w:pPr>
        <w:ind w:left="4177" w:hanging="720"/>
      </w:pPr>
      <w:rPr>
        <w:rFonts w:hint="default"/>
        <w:lang w:val="en-US" w:eastAsia="en-US" w:bidi="en-US"/>
      </w:rPr>
    </w:lvl>
    <w:lvl w:ilvl="7" w:tplc="6986AB42">
      <w:numFmt w:val="bullet"/>
      <w:lvlText w:val="•"/>
      <w:lvlJc w:val="left"/>
      <w:pPr>
        <w:ind w:left="4676" w:hanging="720"/>
      </w:pPr>
      <w:rPr>
        <w:rFonts w:hint="default"/>
        <w:lang w:val="en-US" w:eastAsia="en-US" w:bidi="en-US"/>
      </w:rPr>
    </w:lvl>
    <w:lvl w:ilvl="8" w:tplc="70DC1FAA">
      <w:numFmt w:val="bullet"/>
      <w:lvlText w:val="•"/>
      <w:lvlJc w:val="left"/>
      <w:pPr>
        <w:ind w:left="5176" w:hanging="720"/>
      </w:pPr>
      <w:rPr>
        <w:rFonts w:hint="default"/>
        <w:lang w:val="en-US" w:eastAsia="en-US" w:bidi="en-US"/>
      </w:rPr>
    </w:lvl>
  </w:abstractNum>
  <w:abstractNum w:abstractNumId="5"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7" w15:restartNumberingAfterBreak="0">
    <w:nsid w:val="68967EA8"/>
    <w:multiLevelType w:val="multilevel"/>
    <w:tmpl w:val="24B48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2"/>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4"/>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DE"/>
    <w:rsid w:val="002A5ADE"/>
    <w:rsid w:val="007F7F97"/>
    <w:rsid w:val="00A116EB"/>
    <w:rsid w:val="00A63900"/>
    <w:rsid w:val="00AB17EB"/>
    <w:rsid w:val="00E0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0420"/>
  <w15:chartTrackingRefBased/>
  <w15:docId w15:val="{32266A3A-CBBB-41D5-98E6-279B8CB0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DE"/>
    <w:rPr>
      <w:rFonts w:ascii="Segoe UI" w:eastAsia="Quattrocento Sans" w:hAnsi="Segoe UI" w:cs="Quattrocento Sans"/>
    </w:rPr>
  </w:style>
  <w:style w:type="paragraph" w:styleId="Heading1">
    <w:name w:val="heading 1"/>
    <w:basedOn w:val="Normal"/>
    <w:next w:val="Normal"/>
    <w:link w:val="Heading1Char"/>
    <w:uiPriority w:val="9"/>
    <w:qFormat/>
    <w:rsid w:val="002A5ADE"/>
    <w:pPr>
      <w:keepNext/>
      <w:keepLines/>
      <w:numPr>
        <w:numId w:val="2"/>
      </w:numPr>
      <w:spacing w:before="240" w:after="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2A5ADE"/>
    <w:pPr>
      <w:keepNext/>
      <w:keepLines/>
      <w:numPr>
        <w:ilvl w:val="1"/>
        <w:numId w:val="2"/>
      </w:numPr>
      <w:spacing w:before="40" w:after="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2A5ADE"/>
    <w:pPr>
      <w:keepNext/>
      <w:keepLines/>
      <w:numPr>
        <w:ilvl w:val="2"/>
        <w:numId w:val="2"/>
      </w:numPr>
      <w:spacing w:before="40" w:after="0" w:line="256" w:lineRule="auto"/>
      <w:outlineLvl w:val="2"/>
    </w:pPr>
    <w:rPr>
      <w:rFonts w:eastAsiaTheme="majorEastAsia" w:cstheme="majorBidi"/>
      <w:color w:val="1F3763" w:themeColor="accent1" w:themeShade="7F"/>
      <w:sz w:val="28"/>
      <w:szCs w:val="24"/>
    </w:rPr>
  </w:style>
  <w:style w:type="paragraph" w:styleId="Heading4">
    <w:name w:val="heading 4"/>
    <w:basedOn w:val="Normal"/>
    <w:next w:val="Normal"/>
    <w:link w:val="Heading4Char"/>
    <w:uiPriority w:val="9"/>
    <w:semiHidden/>
    <w:unhideWhenUsed/>
    <w:qFormat/>
    <w:rsid w:val="002A5AD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A5AD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A5AD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A5AD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A5AD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5AD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ADE"/>
    <w:rPr>
      <w:rFonts w:ascii="Segoe UI" w:eastAsiaTheme="majorEastAsia" w:hAnsi="Segoe UI" w:cstheme="majorBidi"/>
      <w:b/>
      <w:color w:val="2F5496" w:themeColor="accent1" w:themeShade="BF"/>
      <w:sz w:val="36"/>
      <w:szCs w:val="32"/>
    </w:rPr>
  </w:style>
  <w:style w:type="character" w:customStyle="1" w:styleId="Heading2Char">
    <w:name w:val="Heading 2 Char"/>
    <w:basedOn w:val="DefaultParagraphFont"/>
    <w:link w:val="Heading2"/>
    <w:uiPriority w:val="9"/>
    <w:rsid w:val="002A5ADE"/>
    <w:rPr>
      <w:rFonts w:ascii="Segoe UI" w:eastAsiaTheme="majorEastAsia" w:hAnsi="Segoe UI" w:cstheme="majorBidi"/>
      <w:color w:val="2F5496" w:themeColor="accent1" w:themeShade="BF"/>
      <w:sz w:val="32"/>
      <w:szCs w:val="26"/>
    </w:rPr>
  </w:style>
  <w:style w:type="character" w:customStyle="1" w:styleId="Heading3Char">
    <w:name w:val="Heading 3 Char"/>
    <w:basedOn w:val="DefaultParagraphFont"/>
    <w:link w:val="Heading3"/>
    <w:uiPriority w:val="9"/>
    <w:rsid w:val="002A5ADE"/>
    <w:rPr>
      <w:rFonts w:ascii="Segoe UI" w:eastAsiaTheme="majorEastAsia" w:hAnsi="Segoe UI" w:cstheme="majorBidi"/>
      <w:color w:val="1F3763" w:themeColor="accent1" w:themeShade="7F"/>
      <w:sz w:val="28"/>
      <w:szCs w:val="24"/>
    </w:rPr>
  </w:style>
  <w:style w:type="character" w:customStyle="1" w:styleId="Heading4Char">
    <w:name w:val="Heading 4 Char"/>
    <w:basedOn w:val="DefaultParagraphFont"/>
    <w:link w:val="Heading4"/>
    <w:uiPriority w:val="9"/>
    <w:semiHidden/>
    <w:rsid w:val="002A5A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A5A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A5A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A5A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A5A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5AD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A5ADE"/>
    <w:pPr>
      <w:ind w:left="720"/>
      <w:contextualSpacing/>
    </w:pPr>
  </w:style>
  <w:style w:type="table" w:styleId="TableGrid">
    <w:name w:val="Table Grid"/>
    <w:basedOn w:val="TableNormal"/>
    <w:uiPriority w:val="39"/>
    <w:rsid w:val="002A5ADE"/>
    <w:pPr>
      <w:spacing w:after="0" w:line="240" w:lineRule="auto"/>
    </w:pPr>
    <w:rPr>
      <w:rFonts w:ascii="Quattrocento Sans" w:eastAsia="Quattrocento Sans" w:hAnsi="Quattrocento Sans" w:cs="Quattrocento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5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ADE"/>
    <w:rPr>
      <w:rFonts w:ascii="Segoe UI" w:eastAsia="Quattrocento Sans" w:hAnsi="Segoe UI" w:cs="Quattrocento Sans"/>
      <w:sz w:val="20"/>
      <w:szCs w:val="20"/>
    </w:rPr>
  </w:style>
  <w:style w:type="character" w:styleId="FootnoteReference">
    <w:name w:val="footnote reference"/>
    <w:basedOn w:val="DefaultParagraphFont"/>
    <w:uiPriority w:val="99"/>
    <w:semiHidden/>
    <w:unhideWhenUsed/>
    <w:rsid w:val="002A5ADE"/>
    <w:rPr>
      <w:vertAlign w:val="superscript"/>
    </w:rPr>
  </w:style>
  <w:style w:type="paragraph" w:styleId="BodyText">
    <w:name w:val="Body Text"/>
    <w:basedOn w:val="Normal"/>
    <w:link w:val="BodyTextChar"/>
    <w:uiPriority w:val="99"/>
    <w:unhideWhenUsed/>
    <w:rsid w:val="002A5ADE"/>
    <w:pPr>
      <w:spacing w:after="120"/>
    </w:pPr>
  </w:style>
  <w:style w:type="character" w:customStyle="1" w:styleId="BodyTextChar">
    <w:name w:val="Body Text Char"/>
    <w:basedOn w:val="DefaultParagraphFont"/>
    <w:link w:val="BodyText"/>
    <w:uiPriority w:val="99"/>
    <w:rsid w:val="002A5ADE"/>
    <w:rPr>
      <w:rFonts w:ascii="Segoe UI" w:eastAsia="Quattrocento Sans" w:hAnsi="Segoe UI" w:cs="Quattrocento Sans"/>
    </w:rPr>
  </w:style>
  <w:style w:type="paragraph" w:customStyle="1" w:styleId="TableParagraph">
    <w:name w:val="Table Paragraph"/>
    <w:basedOn w:val="Normal"/>
    <w:uiPriority w:val="1"/>
    <w:qFormat/>
    <w:rsid w:val="002A5ADE"/>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JeffsPreferredBullets">
    <w:name w:val="Jeff's Preferred Bullets"/>
    <w:basedOn w:val="Normal"/>
    <w:link w:val="JeffsPreferredBulletsChar"/>
    <w:qFormat/>
    <w:rsid w:val="002A5ADE"/>
    <w:pPr>
      <w:numPr>
        <w:numId w:val="4"/>
      </w:numPr>
      <w:spacing w:after="0" w:line="276" w:lineRule="auto"/>
      <w:contextualSpacing/>
    </w:pPr>
    <w:rPr>
      <w:rFonts w:ascii="Arial" w:eastAsia="Arial" w:hAnsi="Arial" w:cs="Arial"/>
      <w:color w:val="000000"/>
    </w:rPr>
  </w:style>
  <w:style w:type="character" w:customStyle="1" w:styleId="JeffsPreferredBulletsChar">
    <w:name w:val="Jeff's Preferred Bullets Char"/>
    <w:link w:val="JeffsPreferredBullets"/>
    <w:rsid w:val="002A5AD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Kim</dc:creator>
  <cp:keywords/>
  <dc:description/>
  <cp:lastModifiedBy>Eric Kim</cp:lastModifiedBy>
  <cp:revision>2</cp:revision>
  <dcterms:created xsi:type="dcterms:W3CDTF">2020-10-27T17:23:00Z</dcterms:created>
  <dcterms:modified xsi:type="dcterms:W3CDTF">2020-11-11T00:11:00Z</dcterms:modified>
</cp:coreProperties>
</file>